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before="0"/>
        <w:jc w:val="center"/>
      </w:pPr>
      <w:r>
        <w:rPr>
          <w:rFonts w:ascii="Arial" w:hAnsi="Arial"/>
          <w:b/>
          <w:color w:val="1F4E78"/>
          <w:sz w:val="40"/>
        </w:rPr>
        <w:t>COMPILATION COMPLÈTE DES TESTS TECHNIQUES ET GUIDES D'ENTRETIEN</w:t>
      </w:r>
    </w:p>
    <w:p>
      <w:pPr>
        <w:spacing w:after="360"/>
        <w:jc w:val="center"/>
      </w:pPr>
      <w:r>
        <w:rPr>
          <w:rFonts w:ascii="Arial" w:hAnsi="Arial"/>
          <w:i/>
          <w:color w:val="2F5597"/>
          <w:sz w:val="24"/>
        </w:rPr>
        <w:t>Gestion de l'Information (IM), Suivi &amp; Évaluation (MEAL), SIG / GIS, Bases de Données &amp; ICT4D</w:t>
      </w:r>
    </w:p>
    <w:p>
      <w:pPr>
        <w:keepNext/>
        <w:spacing w:before="280" w:after="120"/>
        <w:pBdr>
          <w:bottom w:val="single" w:sz="12" w:space="4" w:color="1F4E78"/>
        </w:pBdr>
      </w:pPr>
      <w:r>
        <w:rPr>
          <w:rFonts w:ascii="Arial" w:hAnsi="Arial"/>
          <w:b/>
          <w:color w:val="1F4E78"/>
          <w:sz w:val="28"/>
        </w:rPr>
        <w:t>Source 1 : Test Technique IM Officer / Manager</w:t>
      </w:r>
    </w:p>
    <w:p>
      <w:r>
        <w:t>Durée indicative : 1h30</w:t>
      </w:r>
    </w:p>
    <w:p>
      <w:pPr>
        <w:keepNext/>
        <w:spacing w:before="200" w:after="80"/>
      </w:pPr>
      <w:r>
        <w:rPr>
          <w:rFonts w:ascii="Arial" w:hAnsi="Arial"/>
          <w:b/>
          <w:color w:val="2F5597"/>
          <w:sz w:val="24"/>
        </w:rPr>
        <w:t>1. Collecte de Données Mobile</w:t>
      </w:r>
    </w:p>
    <w:p>
      <w:pPr>
        <w:keepNext/>
        <w:spacing w:before="120" w:after="40"/>
      </w:pPr>
      <w:r>
        <w:rPr>
          <w:rFonts w:ascii="Arial" w:hAnsi="Arial"/>
          <w:b/>
          <w:i/>
          <w:color w:val="262626"/>
          <w:sz w:val="22"/>
        </w:rPr>
        <w:t>Avantages de la collecte de données mobile :</w:t>
      </w:r>
    </w:p>
    <w:p>
      <w:pPr>
        <w:pStyle w:val="ListBullet"/>
        <w:spacing w:after="60"/>
        <w:ind w:left="360"/>
      </w:pPr>
      <w:r>
        <w:rPr>
          <w:rFonts w:ascii="Arial" w:hAnsi="Arial"/>
          <w:sz w:val="21"/>
        </w:rPr>
        <w:t>Exportable en format électronique : plus besoin de faire la saisie manuelle à partir d'un support papier.</w:t>
      </w:r>
    </w:p>
    <w:p>
      <w:pPr>
        <w:pStyle w:val="ListBullet"/>
        <w:spacing w:after="60"/>
        <w:ind w:left="360"/>
      </w:pPr>
      <w:r>
        <w:rPr>
          <w:rFonts w:ascii="Arial" w:hAnsi="Arial"/>
          <w:sz w:val="21"/>
        </w:rPr>
        <w:t>Facilement déployable sur Tablette, iPad, Smartphone ou en ligne.</w:t>
      </w:r>
    </w:p>
    <w:p>
      <w:pPr>
        <w:pStyle w:val="ListBullet"/>
        <w:spacing w:after="60"/>
        <w:ind w:left="360"/>
      </w:pPr>
      <w:r>
        <w:rPr>
          <w:rFonts w:ascii="Arial" w:hAnsi="Arial"/>
          <w:sz w:val="21"/>
        </w:rPr>
        <w:t>Collecte hors connexion (offline) sans avoir besoin d'une connexion Internet permanente sur le terrain.</w:t>
      </w:r>
    </w:p>
    <w:p>
      <w:pPr>
        <w:pStyle w:val="ListBullet"/>
        <w:spacing w:after="60"/>
        <w:ind w:left="360"/>
      </w:pPr>
      <w:r>
        <w:rPr>
          <w:rFonts w:ascii="Arial" w:hAnsi="Arial"/>
          <w:sz w:val="21"/>
        </w:rPr>
        <w:t>Sécurité des données : accès restreint et sécurisé uniquement aux personnes autorisées.</w:t>
      </w:r>
    </w:p>
    <w:p>
      <w:pPr>
        <w:pStyle w:val="ListBullet"/>
        <w:spacing w:after="60"/>
        <w:ind w:left="360"/>
      </w:pPr>
      <w:r>
        <w:rPr>
          <w:rFonts w:ascii="Arial" w:hAnsi="Arial"/>
          <w:sz w:val="21"/>
        </w:rPr>
        <w:t>Facilite le nettoyage et l'analyse des données sous plusieurs formats (Excel, SPSS, R, Stata, etc.).</w:t>
      </w:r>
    </w:p>
    <w:p>
      <w:pPr>
        <w:pStyle w:val="ListBullet"/>
        <w:spacing w:after="60"/>
        <w:ind w:left="360"/>
      </w:pPr>
      <w:r>
        <w:rPr>
          <w:rFonts w:ascii="Arial" w:hAnsi="Arial"/>
          <w:sz w:val="21"/>
        </w:rPr>
        <w:t>Visualisation des soumissions en temps réel par l'administrateur dès la synchronisation.</w:t>
      </w:r>
    </w:p>
    <w:p>
      <w:pPr>
        <w:keepNext/>
        <w:spacing w:before="120" w:after="40"/>
      </w:pPr>
      <w:r>
        <w:rPr>
          <w:rFonts w:ascii="Arial" w:hAnsi="Arial"/>
          <w:b/>
          <w:i/>
          <w:color w:val="262626"/>
          <w:sz w:val="22"/>
        </w:rPr>
        <w:t>Inconvénients de la collecte de données mobile :</w:t>
      </w:r>
    </w:p>
    <w:p>
      <w:pPr>
        <w:pStyle w:val="ListBullet"/>
        <w:spacing w:after="60"/>
        <w:ind w:left="360"/>
      </w:pPr>
      <w:r>
        <w:rPr>
          <w:rFonts w:ascii="Arial" w:hAnsi="Arial"/>
          <w:sz w:val="21"/>
        </w:rPr>
        <w:t>Risque sécuritaire sur les données : si le collecteur n'a pas encore synchronisé, les données peuvent être altérées ou perdues sur l'appareil (ex. KoboCollect).</w:t>
      </w:r>
    </w:p>
    <w:p>
      <w:pPr>
        <w:pStyle w:val="ListBullet"/>
        <w:spacing w:after="60"/>
        <w:ind w:left="360"/>
      </w:pPr>
      <w:r>
        <w:rPr>
          <w:rFonts w:ascii="Arial" w:hAnsi="Arial"/>
          <w:sz w:val="21"/>
        </w:rPr>
        <w:t>Dépendance technique : le développement du questionnaire nécessite une connexion Internet et le déploiement exige des équipements mobiles (tablettes/smartphones) représentant un coût financier.</w:t>
      </w:r>
    </w:p>
    <w:p>
      <w:pPr>
        <w:pStyle w:val="ListBullet"/>
        <w:spacing w:after="60"/>
        <w:ind w:left="360"/>
      </w:pPr>
      <w:r>
        <w:rPr>
          <w:rFonts w:ascii="Arial" w:hAnsi="Arial"/>
          <w:sz w:val="21"/>
        </w:rPr>
        <w:t>Coût de souscription : les formules payantes ou premium sur certaines plateformes de collecte peuvent être élevées.</w:t>
      </w:r>
    </w:p>
    <w:p>
      <w:pPr>
        <w:keepNext/>
        <w:spacing w:before="120" w:after="40"/>
      </w:pPr>
      <w:r>
        <w:rPr>
          <w:rFonts w:ascii="Arial" w:hAnsi="Arial"/>
          <w:b/>
          <w:i/>
          <w:color w:val="262626"/>
          <w:sz w:val="22"/>
        </w:rPr>
        <w:t>Fichier XLSForm et ses avantages :</w:t>
      </w:r>
    </w:p>
    <w:p>
      <w:r>
        <w:rPr>
          <w:b/>
        </w:rPr>
        <w:t xml:space="preserve">Définition : </w:t>
      </w:r>
      <w:r>
        <w:t>Un fichier XLSForm est un standard basé sur Excel utilisé pour la création et la conception de questionnaires d'enquête complexes exploitables hors ligne.</w:t>
        <w:br/>
      </w:r>
      <w:r>
        <w:rPr>
          <w:b/>
        </w:rPr>
        <w:t xml:space="preserve">Avantages : </w:t>
      </w:r>
      <w:r>
        <w:t>Il permet de concevoir et structurer le design du questionnaire de manière très précise avant de l'importer sur le serveur de la plateforme de collecte (KoboToolbox, ODK, ONA), ce qui offre un gain de temps considérable par rapport à la création manuelle en ligne.</w:t>
      </w:r>
    </w:p>
    <w:p>
      <w:pPr>
        <w:keepNext/>
        <w:spacing w:before="200" w:after="80"/>
      </w:pPr>
      <w:r>
        <w:rPr>
          <w:rFonts w:ascii="Arial" w:hAnsi="Arial"/>
          <w:b/>
          <w:color w:val="2F5597"/>
          <w:sz w:val="24"/>
        </w:rPr>
        <w:t>2. Préparation de la Collecte de Données</w:t>
      </w:r>
    </w:p>
    <w:p>
      <w:pPr>
        <w:pStyle w:val="ListBullet"/>
        <w:spacing w:after="60"/>
        <w:ind w:left="360"/>
      </w:pPr>
      <w:r>
        <w:rPr>
          <w:rFonts w:ascii="Arial" w:hAnsi="Arial"/>
          <w:sz w:val="21"/>
        </w:rPr>
        <w:t>Définition claire du but de la collecte et de l'utilisation future des données.</w:t>
      </w:r>
    </w:p>
    <w:p>
      <w:pPr>
        <w:pStyle w:val="ListBullet"/>
        <w:spacing w:after="60"/>
        <w:ind w:left="360"/>
      </w:pPr>
      <w:r>
        <w:rPr>
          <w:rFonts w:ascii="Arial" w:hAnsi="Arial"/>
          <w:sz w:val="21"/>
        </w:rPr>
        <w:t>Maîtrise des indicateurs de suivi du projet.</w:t>
      </w:r>
    </w:p>
    <w:p>
      <w:pPr>
        <w:pStyle w:val="ListBullet"/>
        <w:spacing w:after="60"/>
        <w:ind w:left="360"/>
      </w:pPr>
      <w:r>
        <w:rPr>
          <w:rFonts w:ascii="Arial" w:hAnsi="Arial"/>
          <w:sz w:val="21"/>
        </w:rPr>
        <w:t>Montage et validation du questionnaire d'enquête.</w:t>
      </w:r>
    </w:p>
    <w:p>
      <w:pPr>
        <w:pStyle w:val="ListBullet"/>
        <w:spacing w:after="60"/>
        <w:ind w:left="360"/>
      </w:pPr>
      <w:r>
        <w:rPr>
          <w:rFonts w:ascii="Arial" w:hAnsi="Arial"/>
          <w:sz w:val="21"/>
        </w:rPr>
        <w:t>Définition du format de collecte approprié (mobile vs papier).</w:t>
      </w:r>
    </w:p>
    <w:p>
      <w:pPr>
        <w:pStyle w:val="ListBullet"/>
        <w:spacing w:after="60"/>
        <w:ind w:left="360"/>
      </w:pPr>
      <w:r>
        <w:rPr>
          <w:rFonts w:ascii="Arial" w:hAnsi="Arial"/>
          <w:sz w:val="21"/>
        </w:rPr>
        <w:t>Formation approfondie des collecteurs sur l'outil et les règles éthiques/méthodologiques de collecte.</w:t>
      </w:r>
    </w:p>
    <w:p>
      <w:pPr>
        <w:keepNext/>
        <w:spacing w:before="200" w:after="80"/>
      </w:pPr>
      <w:r>
        <w:rPr>
          <w:rFonts w:ascii="Arial" w:hAnsi="Arial"/>
          <w:b/>
          <w:color w:val="2F5597"/>
          <w:sz w:val="24"/>
        </w:rPr>
        <w:t>3. Conception de Base de Données (Projet de Réadaptation à Domicile)</w:t>
      </w:r>
    </w:p>
    <w:p>
      <w:r>
        <w:t>Organisation relationnelle des formulaires et tables de la base de données :</w:t>
      </w:r>
    </w:p>
    <w:p>
      <w:pPr>
        <w:pStyle w:val="ListBullet"/>
        <w:spacing w:after="60"/>
        <w:ind w:left="360"/>
      </w:pPr>
      <w:r>
        <w:rPr>
          <w:rFonts w:ascii="Arial" w:hAnsi="Arial"/>
          <w:sz w:val="21"/>
        </w:rPr>
        <w:t>Table Ménage (Identification) [1 formulaire = 1 ménage] : Clé primaire = Household_ID. Enregistre les informations démographiques du ménage.</w:t>
      </w:r>
    </w:p>
    <w:p>
      <w:pPr>
        <w:pStyle w:val="ListBullet"/>
        <w:spacing w:after="60"/>
        <w:ind w:left="360"/>
      </w:pPr>
      <w:r>
        <w:rPr>
          <w:rFonts w:ascii="Arial" w:hAnsi="Arial"/>
          <w:sz w:val="21"/>
        </w:rPr>
        <w:t>Table Bénéficiaire (Informations Générales) [1 formulaire = 1 nouveau bénéficiaire] : Clé primaire = Beneficiary_ID, Clé étrangère = Household_ID. Recueille l'identité, l'adresse et les facteurs de risque.</w:t>
      </w:r>
    </w:p>
    <w:p>
      <w:pPr>
        <w:pStyle w:val="ListBullet"/>
        <w:spacing w:after="60"/>
        <w:ind w:left="360"/>
      </w:pPr>
      <w:r>
        <w:rPr>
          <w:rFonts w:ascii="Arial" w:hAnsi="Arial"/>
          <w:sz w:val="21"/>
        </w:rPr>
        <w:t>Table Évaluation Technique [1 formulaire = 1 bénéficiaire de réadaptation] : Clé primaire = Eval_ID, Clé étrangère = Beneficiary_ID. Évalue les besoins spécifiques et planifie l'intervention.</w:t>
      </w:r>
    </w:p>
    <w:p>
      <w:pPr>
        <w:pStyle w:val="ListBullet"/>
        <w:spacing w:after="60"/>
        <w:ind w:left="360"/>
      </w:pPr>
      <w:r>
        <w:rPr>
          <w:rFonts w:ascii="Arial" w:hAnsi="Arial"/>
          <w:sz w:val="21"/>
        </w:rPr>
        <w:t>Table Session de Suivi [1 formulaire = 1 session de suivi] : Clé primaire = Session_ID, Clé étrangère = Beneficiary_ID. Enregistre les activités réalisées lors de chaque séance.</w:t>
      </w:r>
    </w:p>
    <w:p>
      <w:pPr>
        <w:pStyle w:val="ListBullet"/>
        <w:spacing w:after="60"/>
        <w:ind w:left="360"/>
      </w:pPr>
      <w:r>
        <w:rPr>
          <w:rFonts w:ascii="Arial" w:hAnsi="Arial"/>
          <w:sz w:val="21"/>
        </w:rPr>
        <w:t>Table Décharge [1 formulaire = 1 bénéficiaire déchargé] : Clé primaire = Discharge_ID, Clé étrangère = Beneficiary_ID. Documente la séance finale et la clôture du dossier.</w:t>
      </w:r>
    </w:p>
    <w:p>
      <w:pPr>
        <w:keepNext/>
        <w:spacing w:before="200" w:after="80"/>
      </w:pPr>
      <w:r>
        <w:rPr>
          <w:rFonts w:ascii="Arial" w:hAnsi="Arial"/>
          <w:b/>
          <w:color w:val="2F5597"/>
          <w:sz w:val="24"/>
        </w:rPr>
        <w:t>4. Nettoyage et Traitement des Données (Washington Group Questions - WGQ)</w:t>
      </w:r>
    </w:p>
    <w:p>
      <w:r>
        <w:t>Règle de décision : Une personne est considérée comme handicapée (Handicap = 'Oui' / 'YES') si elle répond à au moins une des 6 questions WGQ par 'Beaucoup de difficultés' (2) ou 'Ne peut pas faire du tout' (3). Sinon, Handicap = 'Non' / 'NO'.</w:t>
      </w:r>
    </w:p>
    <w:tbl>
      <w:tblPr>
        <w:tblW w:type="auto" w:w="0"/>
        <w:jc w:val="center"/>
        <w:tblLook w:firstColumn="1" w:firstRow="1" w:lastColumn="0" w:lastRow="0" w:noHBand="0" w:noVBand="1" w:val="04A0"/>
      </w:tblPr>
      <w:tblGrid>
        <w:gridCol w:w="1040"/>
        <w:gridCol w:w="1040"/>
        <w:gridCol w:w="1040"/>
        <w:gridCol w:w="1040"/>
        <w:gridCol w:w="1040"/>
        <w:gridCol w:w="1040"/>
        <w:gridCol w:w="1040"/>
        <w:gridCol w:w="1040"/>
        <w:gridCol w:w="1040"/>
      </w:tblGrid>
      <w:tr>
        <w:tc>
          <w:tcPr>
            <w:tcW w:type="dxa" w:w="1040"/>
            <w:shd w:fill="1F4E78"/>
          </w:tcPr>
          <w:p>
            <w:r>
              <w:rPr>
                <w:b/>
                <w:color w:val="FFFFFF"/>
              </w:rPr>
              <w:t>Age</w:t>
            </w:r>
          </w:p>
        </w:tc>
        <w:tc>
          <w:tcPr>
            <w:tcW w:type="dxa" w:w="1040"/>
            <w:shd w:fill="1F4E78"/>
          </w:tcPr>
          <w:p>
            <w:r>
              <w:rPr>
                <w:b/>
                <w:color w:val="FFFFFF"/>
              </w:rPr>
              <w:t>Statut</w:t>
            </w:r>
          </w:p>
        </w:tc>
        <w:tc>
          <w:tcPr>
            <w:tcW w:type="dxa" w:w="1040"/>
            <w:shd w:fill="1F4E78"/>
          </w:tcPr>
          <w:p>
            <w:r>
              <w:rPr>
                <w:b/>
                <w:color w:val="FFFFFF"/>
              </w:rPr>
              <w:t>VIS_SS</w:t>
            </w:r>
          </w:p>
        </w:tc>
        <w:tc>
          <w:tcPr>
            <w:tcW w:type="dxa" w:w="1040"/>
            <w:shd w:fill="1F4E78"/>
          </w:tcPr>
          <w:p>
            <w:r>
              <w:rPr>
                <w:b/>
                <w:color w:val="FFFFFF"/>
              </w:rPr>
              <w:t>HEAR_SS</w:t>
            </w:r>
          </w:p>
        </w:tc>
        <w:tc>
          <w:tcPr>
            <w:tcW w:type="dxa" w:w="1040"/>
            <w:shd w:fill="1F4E78"/>
          </w:tcPr>
          <w:p>
            <w:r>
              <w:rPr>
                <w:b/>
                <w:color w:val="FFFFFF"/>
              </w:rPr>
              <w:t>MOB_SS</w:t>
            </w:r>
          </w:p>
        </w:tc>
        <w:tc>
          <w:tcPr>
            <w:tcW w:type="dxa" w:w="1040"/>
            <w:shd w:fill="1F4E78"/>
          </w:tcPr>
          <w:p>
            <w:r>
              <w:rPr>
                <w:b/>
                <w:color w:val="FFFFFF"/>
              </w:rPr>
              <w:t>COG_SS</w:t>
            </w:r>
          </w:p>
        </w:tc>
        <w:tc>
          <w:tcPr>
            <w:tcW w:type="dxa" w:w="1040"/>
            <w:shd w:fill="1F4E78"/>
          </w:tcPr>
          <w:p>
            <w:r>
              <w:rPr>
                <w:b/>
                <w:color w:val="FFFFFF"/>
              </w:rPr>
              <w:t>UB_SS</w:t>
            </w:r>
          </w:p>
        </w:tc>
        <w:tc>
          <w:tcPr>
            <w:tcW w:type="dxa" w:w="1040"/>
            <w:shd w:fill="1F4E78"/>
          </w:tcPr>
          <w:p>
            <w:r>
              <w:rPr>
                <w:b/>
                <w:color w:val="FFFFFF"/>
              </w:rPr>
              <w:t>COM_SS</w:t>
            </w:r>
          </w:p>
        </w:tc>
        <w:tc>
          <w:tcPr>
            <w:tcW w:type="dxa" w:w="1040"/>
            <w:shd w:fill="1F4E78"/>
          </w:tcPr>
          <w:p>
            <w:r>
              <w:rPr>
                <w:b/>
                <w:color w:val="FFFFFF"/>
              </w:rPr>
              <w:t>Handicap</w:t>
            </w:r>
          </w:p>
        </w:tc>
      </w:tr>
      <w:tr>
        <w:tc>
          <w:tcPr>
            <w:tcW w:type="dxa" w:w="1040"/>
          </w:tcPr>
          <w:p>
            <w:r>
              <w:t>78</w:t>
            </w:r>
          </w:p>
        </w:tc>
        <w:tc>
          <w:tcPr>
            <w:tcW w:type="dxa" w:w="1040"/>
          </w:tcPr>
          <w:p>
            <w:r>
              <w:t>Population locale</w:t>
            </w:r>
          </w:p>
        </w:tc>
        <w:tc>
          <w:tcPr>
            <w:tcW w:type="dxa" w:w="1040"/>
          </w:tcPr>
          <w:p>
            <w:r>
              <w:t>1</w:t>
            </w:r>
          </w:p>
        </w:tc>
        <w:tc>
          <w:tcPr>
            <w:tcW w:type="dxa" w:w="1040"/>
          </w:tcPr>
          <w:p>
            <w:r>
              <w:t>0</w:t>
            </w:r>
          </w:p>
        </w:tc>
        <w:tc>
          <w:tcPr>
            <w:tcW w:type="dxa" w:w="1040"/>
          </w:tcPr>
          <w:p>
            <w:r>
              <w:t>3</w:t>
            </w:r>
          </w:p>
        </w:tc>
        <w:tc>
          <w:tcPr>
            <w:tcW w:type="dxa" w:w="1040"/>
          </w:tcPr>
          <w:p>
            <w:r>
              <w:t>0</w:t>
            </w:r>
          </w:p>
        </w:tc>
        <w:tc>
          <w:tcPr>
            <w:tcW w:type="dxa" w:w="1040"/>
          </w:tcPr>
          <w:p>
            <w:r>
              <w:t>1</w:t>
            </w:r>
          </w:p>
        </w:tc>
        <w:tc>
          <w:tcPr>
            <w:tcW w:type="dxa" w:w="1040"/>
          </w:tcPr>
          <w:p>
            <w:r>
              <w:t>0</w:t>
            </w:r>
          </w:p>
        </w:tc>
        <w:tc>
          <w:tcPr>
            <w:tcW w:type="dxa" w:w="1040"/>
          </w:tcPr>
          <w:p>
            <w:r>
              <w:t>YES</w:t>
            </w:r>
          </w:p>
        </w:tc>
      </w:tr>
      <w:tr>
        <w:tc>
          <w:tcPr>
            <w:tcW w:type="dxa" w:w="1040"/>
          </w:tcPr>
          <w:p>
            <w:r>
              <w:t>58</w:t>
            </w:r>
          </w:p>
        </w:tc>
        <w:tc>
          <w:tcPr>
            <w:tcW w:type="dxa" w:w="1040"/>
          </w:tcPr>
          <w:p>
            <w:r>
              <w:t>Population locale</w:t>
            </w:r>
          </w:p>
        </w:tc>
        <w:tc>
          <w:tcPr>
            <w:tcW w:type="dxa" w:w="1040"/>
          </w:tcPr>
          <w:p>
            <w:r>
              <w:t>0</w:t>
            </w:r>
          </w:p>
        </w:tc>
        <w:tc>
          <w:tcPr>
            <w:tcW w:type="dxa" w:w="1040"/>
          </w:tcPr>
          <w:p>
            <w:r>
              <w:t>0</w:t>
            </w:r>
          </w:p>
        </w:tc>
        <w:tc>
          <w:tcPr>
            <w:tcW w:type="dxa" w:w="1040"/>
          </w:tcPr>
          <w:p>
            <w:r>
              <w:t>3</w:t>
            </w:r>
          </w:p>
        </w:tc>
        <w:tc>
          <w:tcPr>
            <w:tcW w:type="dxa" w:w="1040"/>
          </w:tcPr>
          <w:p>
            <w:r>
              <w:t>0</w:t>
            </w:r>
          </w:p>
        </w:tc>
        <w:tc>
          <w:tcPr>
            <w:tcW w:type="dxa" w:w="1040"/>
          </w:tcPr>
          <w:p>
            <w:r>
              <w:t>0</w:t>
            </w:r>
          </w:p>
        </w:tc>
        <w:tc>
          <w:tcPr>
            <w:tcW w:type="dxa" w:w="1040"/>
          </w:tcPr>
          <w:p>
            <w:r>
              <w:t>0</w:t>
            </w:r>
          </w:p>
        </w:tc>
        <w:tc>
          <w:tcPr>
            <w:tcW w:type="dxa" w:w="1040"/>
          </w:tcPr>
          <w:p>
            <w:r>
              <w:t>YES</w:t>
            </w:r>
          </w:p>
        </w:tc>
      </w:tr>
      <w:tr>
        <w:tc>
          <w:tcPr>
            <w:tcW w:type="dxa" w:w="1040"/>
          </w:tcPr>
          <w:p>
            <w:r>
              <w:t>69</w:t>
            </w:r>
          </w:p>
        </w:tc>
        <w:tc>
          <w:tcPr>
            <w:tcW w:type="dxa" w:w="1040"/>
          </w:tcPr>
          <w:p>
            <w:r>
              <w:t>Déplacé interne</w:t>
            </w:r>
          </w:p>
        </w:tc>
        <w:tc>
          <w:tcPr>
            <w:tcW w:type="dxa" w:w="1040"/>
          </w:tcPr>
          <w:p>
            <w:r>
              <w:t>0</w:t>
            </w:r>
          </w:p>
        </w:tc>
        <w:tc>
          <w:tcPr>
            <w:tcW w:type="dxa" w:w="1040"/>
          </w:tcPr>
          <w:p>
            <w:r>
              <w:t>1</w:t>
            </w:r>
          </w:p>
        </w:tc>
        <w:tc>
          <w:tcPr>
            <w:tcW w:type="dxa" w:w="1040"/>
          </w:tcPr>
          <w:p>
            <w:r>
              <w:t>1</w:t>
            </w:r>
          </w:p>
        </w:tc>
        <w:tc>
          <w:tcPr>
            <w:tcW w:type="dxa" w:w="1040"/>
          </w:tcPr>
          <w:p>
            <w:r>
              <w:t>0</w:t>
            </w:r>
          </w:p>
        </w:tc>
        <w:tc>
          <w:tcPr>
            <w:tcW w:type="dxa" w:w="1040"/>
          </w:tcPr>
          <w:p>
            <w:r>
              <w:t>0</w:t>
            </w:r>
          </w:p>
        </w:tc>
        <w:tc>
          <w:tcPr>
            <w:tcW w:type="dxa" w:w="1040"/>
          </w:tcPr>
          <w:p>
            <w:r>
              <w:t>0</w:t>
            </w:r>
          </w:p>
        </w:tc>
        <w:tc>
          <w:tcPr>
            <w:tcW w:type="dxa" w:w="1040"/>
          </w:tcPr>
          <w:p>
            <w:r>
              <w:t>NON</w:t>
            </w:r>
          </w:p>
        </w:tc>
      </w:tr>
      <w:tr>
        <w:tc>
          <w:tcPr>
            <w:tcW w:type="dxa" w:w="1040"/>
          </w:tcPr>
          <w:p>
            <w:r>
              <w:t>27</w:t>
            </w:r>
          </w:p>
        </w:tc>
        <w:tc>
          <w:tcPr>
            <w:tcW w:type="dxa" w:w="1040"/>
          </w:tcPr>
          <w:p>
            <w:r>
              <w:t>Déplacé interne</w:t>
            </w:r>
          </w:p>
        </w:tc>
        <w:tc>
          <w:tcPr>
            <w:tcW w:type="dxa" w:w="1040"/>
          </w:tcPr>
          <w:p>
            <w:r>
              <w:t>0</w:t>
            </w:r>
          </w:p>
        </w:tc>
        <w:tc>
          <w:tcPr>
            <w:tcW w:type="dxa" w:w="1040"/>
          </w:tcPr>
          <w:p>
            <w:r>
              <w:t>1</w:t>
            </w:r>
          </w:p>
        </w:tc>
        <w:tc>
          <w:tcPr>
            <w:tcW w:type="dxa" w:w="1040"/>
          </w:tcPr>
          <w:p>
            <w:r>
              <w:t>1</w:t>
            </w:r>
          </w:p>
        </w:tc>
        <w:tc>
          <w:tcPr>
            <w:tcW w:type="dxa" w:w="1040"/>
          </w:tcPr>
          <w:p>
            <w:r>
              <w:t>0</w:t>
            </w:r>
          </w:p>
        </w:tc>
        <w:tc>
          <w:tcPr>
            <w:tcW w:type="dxa" w:w="1040"/>
          </w:tcPr>
          <w:p>
            <w:r>
              <w:t>3</w:t>
            </w:r>
          </w:p>
        </w:tc>
        <w:tc>
          <w:tcPr>
            <w:tcW w:type="dxa" w:w="1040"/>
          </w:tcPr>
          <w:p>
            <w:r>
              <w:t>0</w:t>
            </w:r>
          </w:p>
        </w:tc>
        <w:tc>
          <w:tcPr>
            <w:tcW w:type="dxa" w:w="1040"/>
          </w:tcPr>
          <w:p>
            <w:r>
              <w:t>YES</w:t>
            </w:r>
          </w:p>
        </w:tc>
      </w:tr>
      <w:tr>
        <w:tc>
          <w:tcPr>
            <w:tcW w:type="dxa" w:w="1040"/>
          </w:tcPr>
          <w:p>
            <w:r>
              <w:t>52</w:t>
            </w:r>
          </w:p>
        </w:tc>
        <w:tc>
          <w:tcPr>
            <w:tcW w:type="dxa" w:w="1040"/>
          </w:tcPr>
          <w:p>
            <w:r>
              <w:t>Déplacé interne</w:t>
            </w:r>
          </w:p>
        </w:tc>
        <w:tc>
          <w:tcPr>
            <w:tcW w:type="dxa" w:w="1040"/>
          </w:tcPr>
          <w:p>
            <w:r>
              <w:t>0</w:t>
            </w:r>
          </w:p>
        </w:tc>
        <w:tc>
          <w:tcPr>
            <w:tcW w:type="dxa" w:w="1040"/>
          </w:tcPr>
          <w:p>
            <w:r>
              <w:t>0</w:t>
            </w:r>
          </w:p>
        </w:tc>
        <w:tc>
          <w:tcPr>
            <w:tcW w:type="dxa" w:w="1040"/>
          </w:tcPr>
          <w:p>
            <w:r>
              <w:t>1</w:t>
            </w:r>
          </w:p>
        </w:tc>
        <w:tc>
          <w:tcPr>
            <w:tcW w:type="dxa" w:w="1040"/>
          </w:tcPr>
          <w:p>
            <w:r>
              <w:t>2</w:t>
            </w:r>
          </w:p>
        </w:tc>
        <w:tc>
          <w:tcPr>
            <w:tcW w:type="dxa" w:w="1040"/>
          </w:tcPr>
          <w:p>
            <w:r>
              <w:t>2</w:t>
            </w:r>
          </w:p>
        </w:tc>
        <w:tc>
          <w:tcPr>
            <w:tcW w:type="dxa" w:w="1040"/>
          </w:tcPr>
          <w:p>
            <w:r>
              <w:t>0</w:t>
            </w:r>
          </w:p>
        </w:tc>
        <w:tc>
          <w:tcPr>
            <w:tcW w:type="dxa" w:w="1040"/>
          </w:tcPr>
          <w:p>
            <w:r>
              <w:t>YES</w:t>
            </w:r>
          </w:p>
        </w:tc>
      </w:tr>
      <w:tr>
        <w:tc>
          <w:tcPr>
            <w:tcW w:type="dxa" w:w="1040"/>
          </w:tcPr>
          <w:p>
            <w:r>
              <w:t>22</w:t>
            </w:r>
          </w:p>
        </w:tc>
        <w:tc>
          <w:tcPr>
            <w:tcW w:type="dxa" w:w="1040"/>
          </w:tcPr>
          <w:p>
            <w:r>
              <w:t>Déplacé interne</w:t>
            </w:r>
          </w:p>
        </w:tc>
        <w:tc>
          <w:tcPr>
            <w:tcW w:type="dxa" w:w="1040"/>
          </w:tcPr>
          <w:p>
            <w:r>
              <w:t>0</w:t>
            </w:r>
          </w:p>
        </w:tc>
        <w:tc>
          <w:tcPr>
            <w:tcW w:type="dxa" w:w="1040"/>
          </w:tcPr>
          <w:p>
            <w:r>
              <w:t>1</w:t>
            </w:r>
          </w:p>
        </w:tc>
        <w:tc>
          <w:tcPr>
            <w:tcW w:type="dxa" w:w="1040"/>
          </w:tcPr>
          <w:p>
            <w:r>
              <w:t>1</w:t>
            </w:r>
          </w:p>
        </w:tc>
        <w:tc>
          <w:tcPr>
            <w:tcW w:type="dxa" w:w="1040"/>
          </w:tcPr>
          <w:p>
            <w:r>
              <w:t>0</w:t>
            </w:r>
          </w:p>
        </w:tc>
        <w:tc>
          <w:tcPr>
            <w:tcW w:type="dxa" w:w="1040"/>
          </w:tcPr>
          <w:p>
            <w:r>
              <w:t>2</w:t>
            </w:r>
          </w:p>
        </w:tc>
        <w:tc>
          <w:tcPr>
            <w:tcW w:type="dxa" w:w="1040"/>
          </w:tcPr>
          <w:p>
            <w:r>
              <w:t>0</w:t>
            </w:r>
          </w:p>
        </w:tc>
        <w:tc>
          <w:tcPr>
            <w:tcW w:type="dxa" w:w="1040"/>
          </w:tcPr>
          <w:p>
            <w:r>
              <w:t>YES</w:t>
            </w:r>
          </w:p>
        </w:tc>
      </w:tr>
    </w:tbl>
    <w:p>
      <w:r>
        <w:br/>
        <w:t>Analyse complémentaire : Ajout d'une feuille de désagrégation dans le classeur pour croiser la variable 'Handicap' avec le Sexe, les Tranches d'âge et le Statut.</w:t>
      </w:r>
    </w:p>
    <w:p>
      <w:pPr>
        <w:keepNext/>
        <w:spacing w:before="280" w:after="120"/>
        <w:pBdr>
          <w:bottom w:val="single" w:sz="12" w:space="4" w:color="1F4E78"/>
        </w:pBdr>
      </w:pPr>
      <w:r>
        <w:rPr>
          <w:rFonts w:ascii="Arial" w:hAnsi="Arial"/>
          <w:b/>
          <w:color w:val="1F4E78"/>
          <w:sz w:val="28"/>
        </w:rPr>
        <w:t>Source 2 : Written Technical Test - GIS &amp; Dashboard (iMMAP / Hugo Powell)</w:t>
      </w:r>
    </w:p>
    <w:p>
      <w:r>
        <w:t>Durée : ~4 heures | Format : SIG (QGIS/ArcGIS), Excel, Dashboarding (PowerBI/Looker Studio/Tableau)</w:t>
      </w:r>
    </w:p>
    <w:p>
      <w:pPr>
        <w:keepNext/>
        <w:spacing w:before="200" w:after="80"/>
      </w:pPr>
      <w:r>
        <w:rPr>
          <w:rFonts w:ascii="Arial" w:hAnsi="Arial"/>
          <w:b/>
          <w:color w:val="2F5597"/>
          <w:sz w:val="24"/>
        </w:rPr>
        <w:t>Part 1 – Cartographie Opérationnelle de la Syrie (40 Points)</w:t>
      </w:r>
    </w:p>
    <w:p>
      <w:pPr>
        <w:pStyle w:val="ListBullet"/>
        <w:spacing w:after="60"/>
        <w:ind w:left="360"/>
      </w:pPr>
      <w:r>
        <w:rPr>
          <w:rFonts w:ascii="Arial" w:hAnsi="Arial"/>
          <w:sz w:val="21"/>
        </w:rPr>
        <w:t>Objectif : Reconstitution et amélioration cartographique d'une carte de la Syrie sans données sources fournies.</w:t>
      </w:r>
    </w:p>
    <w:p>
      <w:pPr>
        <w:pStyle w:val="ListBullet"/>
        <w:spacing w:after="60"/>
        <w:ind w:left="360"/>
      </w:pPr>
      <w:r>
        <w:rPr>
          <w:rFonts w:ascii="Arial" w:hAnsi="Arial"/>
          <w:sz w:val="21"/>
        </w:rPr>
        <w:t>Éléments cartographiques essentiels intégrés : Flèche du Nord, Échelle graphique/numérique, Légende claire et structurée, Sources de données (OCHA, HDX, OSM), Cartouche de titre, Grille de coordonnées/Projections.</w:t>
      </w:r>
    </w:p>
    <w:p>
      <w:pPr>
        <w:pStyle w:val="ListBullet"/>
        <w:spacing w:after="60"/>
        <w:ind w:left="360"/>
      </w:pPr>
      <w:r>
        <w:rPr>
          <w:rFonts w:ascii="Arial" w:hAnsi="Arial"/>
          <w:sz w:val="21"/>
        </w:rPr>
        <w:t>Erreurs identifiées sur la carte originale : Erreurs de toponymie/orthographe, frontières administratives imprécises ou obsolètes, symbologie incohérente des zones autonomes, omission des métadonnées de projection.</w:t>
      </w:r>
    </w:p>
    <w:p>
      <w:pPr>
        <w:keepNext/>
        <w:spacing w:before="200" w:after="80"/>
      </w:pPr>
      <w:r>
        <w:rPr>
          <w:rFonts w:ascii="Arial" w:hAnsi="Arial"/>
          <w:b/>
          <w:color w:val="2F5597"/>
          <w:sz w:val="24"/>
        </w:rPr>
        <w:t>Part 2 – Analyse Spatiale &amp; Réfugiés en Irak (40 Points)</w:t>
      </w:r>
    </w:p>
    <w:p>
      <w:pPr>
        <w:keepNext/>
        <w:spacing w:before="120" w:after="40"/>
      </w:pPr>
      <w:r>
        <w:rPr>
          <w:rFonts w:ascii="Arial" w:hAnsi="Arial"/>
          <w:b/>
          <w:i/>
          <w:color w:val="262626"/>
          <w:sz w:val="22"/>
        </w:rPr>
        <w:t>Map 1 – Carte Infographique (Réfugiés au niveau Admin01)</w:t>
      </w:r>
    </w:p>
    <w:p>
      <w:pPr>
        <w:pStyle w:val="ListBullet"/>
        <w:spacing w:after="60"/>
        <w:ind w:left="360"/>
      </w:pPr>
      <w:r>
        <w:rPr>
          <w:rFonts w:ascii="Arial" w:hAnsi="Arial"/>
          <w:sz w:val="21"/>
        </w:rPr>
        <w:t>Processus d'agrégation : Nettoyage des fichiers shapefiles, jointure spatiale/attributaire entre la couche des réfugiés et la couche Admin01 (Gouvernorats), puis agrégation à l'aide de l'outil 'Dissolve' / 'Aggregate' ou 'Group By' sous QGIS/ArcGIS.</w:t>
      </w:r>
    </w:p>
    <w:p>
      <w:pPr>
        <w:pStyle w:val="ListBullet"/>
        <w:spacing w:after="60"/>
        <w:ind w:left="360"/>
      </w:pPr>
      <w:r>
        <w:rPr>
          <w:rFonts w:ascii="Arial" w:hAnsi="Arial"/>
          <w:sz w:val="21"/>
        </w:rPr>
        <w:t>Réponse Q1 : Le gouvernorat ayant la plus forte concentration de réfugiés est Erbil (Duhok/Erbil selon données exactes).</w:t>
      </w:r>
    </w:p>
    <w:p>
      <w:pPr>
        <w:pStyle w:val="ListBullet"/>
        <w:spacing w:after="60"/>
        <w:ind w:left="360"/>
      </w:pPr>
      <w:r>
        <w:rPr>
          <w:rFonts w:ascii="Arial" w:hAnsi="Arial"/>
          <w:sz w:val="21"/>
        </w:rPr>
        <w:t>Réponse Q2 : Outils GIS utilisés = 'Spatial Join' / 'Aggregate' / 'Dissolve' / 'Summarize Within'.</w:t>
      </w:r>
    </w:p>
    <w:p>
      <w:pPr>
        <w:keepNext/>
        <w:spacing w:before="120" w:after="40"/>
      </w:pPr>
      <w:r>
        <w:rPr>
          <w:rFonts w:ascii="Arial" w:hAnsi="Arial"/>
          <w:b/>
          <w:i/>
          <w:color w:val="262626"/>
          <w:sz w:val="22"/>
        </w:rPr>
        <w:t>Map 2 – Carte des Opérations (Accessibilité aux soins)</w:t>
      </w:r>
    </w:p>
    <w:p>
      <w:pPr>
        <w:pStyle w:val="ListBullet"/>
        <w:spacing w:after="60"/>
        <w:ind w:left="360"/>
      </w:pPr>
      <w:r>
        <w:rPr>
          <w:rFonts w:ascii="Arial" w:hAnsi="Arial"/>
          <w:sz w:val="21"/>
        </w:rPr>
        <w:t>Méthodologie : Création d'une zone tampon (Buffer) de 10 km autour des sites de santé, puis analyse d'intersection/localisation avec les centres de réfugiés.</w:t>
      </w:r>
    </w:p>
    <w:p>
      <w:pPr>
        <w:pStyle w:val="ListBullet"/>
        <w:spacing w:after="60"/>
        <w:ind w:left="360"/>
      </w:pPr>
      <w:r>
        <w:rPr>
          <w:rFonts w:ascii="Arial" w:hAnsi="Arial"/>
          <w:sz w:val="21"/>
        </w:rPr>
        <w:t>Réponse Q1 : Nombre de sites de réfugiés hors zone tampon (&gt;10km) identifié via requête spatiale 'Select By Location' (disjoint).</w:t>
      </w:r>
    </w:p>
    <w:p>
      <w:pPr>
        <w:pStyle w:val="ListBullet"/>
        <w:spacing w:after="60"/>
        <w:ind w:left="360"/>
      </w:pPr>
      <w:r>
        <w:rPr>
          <w:rFonts w:ascii="Arial" w:hAnsi="Arial"/>
          <w:sz w:val="21"/>
        </w:rPr>
        <w:t>Réponse Q2 : Analyse de distance avec l'outil 'Distance Matrix' ou 'Near' pour identifier le site le plus éloigné et calculer sa distance exacte en kilomètres.</w:t>
      </w:r>
    </w:p>
    <w:p>
      <w:pPr>
        <w:keepNext/>
        <w:spacing w:before="200" w:after="80"/>
      </w:pPr>
      <w:r>
        <w:rPr>
          <w:rFonts w:ascii="Arial" w:hAnsi="Arial"/>
          <w:b/>
          <w:color w:val="2F5597"/>
          <w:sz w:val="24"/>
        </w:rPr>
        <w:t>Part 3 – Dashboard Infographique Madagascar (20 Points)</w:t>
      </w:r>
    </w:p>
    <w:p>
      <w:pPr>
        <w:pStyle w:val="ListBullet"/>
        <w:spacing w:after="60"/>
        <w:ind w:left="360"/>
      </w:pPr>
      <w:r>
        <w:rPr>
          <w:rFonts w:ascii="Arial" w:hAnsi="Arial"/>
          <w:sz w:val="21"/>
        </w:rPr>
        <w:t>Calculs réalisés : Pourcentage de zones inondées par Admin01 (Intersection spatiale + Calculateur de champ) et estimation des populations affectées par gouvernorat/district (Raster Overlay / Zonal Statistics).</w:t>
      </w:r>
    </w:p>
    <w:tbl>
      <w:tblPr>
        <w:tblW w:type="auto" w:w="0"/>
        <w:jc w:val="center"/>
        <w:tblLayout w:type="fixed"/>
        <w:tblLook w:firstColumn="1" w:firstRow="1" w:lastColumn="0" w:lastRow="0" w:noHBand="0" w:noVBand="1" w:val="04A0"/>
      </w:tblPr>
      <w:tblGrid>
        <w:gridCol w:w="9360"/>
      </w:tblGrid>
      <w:tr>
        <w:tc>
          <w:tcPr>
            <w:tcW w:type="dxa" w:w="9360"/>
            <w:shd w:fill="F2F4F7"/>
            <w:tcMar>
              <w:top w:w="140" w:type="dxa"/>
              <w:bottom w:w="140" w:type="dxa"/>
              <w:left w:w="200" w:type="dxa"/>
              <w:right w:w="200" w:type="dxa"/>
            </w:tcMar>
            <w:tcBorders>
              <w:top w:val="none"/>
              <w:left w:val="single" w:sz="24" w:space="0" w:color="1F4E78"/>
              <w:bottom w:val="none"/>
              <w:right w:val="none"/>
            </w:tcBorders>
          </w:tcPr>
          <w:p>
            <w:pPr>
              <w:spacing w:after="40"/>
            </w:pPr>
            <w:r>
              <w:rPr>
                <w:b/>
                <w:color w:val="1F4E78"/>
              </w:rPr>
              <w:t>Note Synthétique de Situation (Max 400 mots)</w:t>
              <w:br/>
            </w:r>
            <w:r>
              <w:rPr>
                <w:i/>
                <w:sz w:val="20"/>
              </w:rPr>
              <w:t>Résumé exécutif (Infographie) : Les récentes inondations à Madagascar ont sévèrement touché les districts du Nord et de l'Est. L'analyse spatiale indique une couverture d'inondation atteignant jusqu'à 18% des terres arables dans les zones les plus affectées, exposant plus de 120 000 personnes à un risque imminent d'insécurité alimentaire et de perte de logement. Une assistance humanitaire d'urgence est requise en priorité dans ces zones à forte densité d'impact.</w:t>
            </w:r>
          </w:p>
        </w:tc>
      </w:tr>
    </w:tbl>
    <w:p>
      <w:pPr>
        <w:keepNext/>
        <w:spacing w:before="280" w:after="120"/>
        <w:pBdr>
          <w:bottom w:val="single" w:sz="12" w:space="4" w:color="1F4E78"/>
        </w:pBdr>
      </w:pPr>
      <w:r>
        <w:rPr>
          <w:rFonts w:ascii="Arial" w:hAnsi="Arial"/>
          <w:b/>
          <w:color w:val="1F4E78"/>
          <w:sz w:val="28"/>
        </w:rPr>
        <w:t>Source 3 : iMMAP Information Management Officer Written Test (2019)</w:t>
      </w:r>
    </w:p>
    <w:p>
      <w:r>
        <w:t>Durée : 4 heures | Destinataire : jherzog@immap.org</w:t>
      </w:r>
    </w:p>
    <w:p>
      <w:pPr>
        <w:keepNext/>
        <w:spacing w:before="200" w:after="80"/>
      </w:pPr>
      <w:r>
        <w:rPr>
          <w:rFonts w:ascii="Arial" w:hAnsi="Arial"/>
          <w:b/>
          <w:color w:val="2F5597"/>
          <w:sz w:val="24"/>
        </w:rPr>
        <w:t>Part 1 - Data Analysis (4W Datasets)</w:t>
      </w:r>
    </w:p>
    <w:p>
      <w:pPr>
        <w:pStyle w:val="ListBullet"/>
        <w:spacing w:after="60"/>
        <w:ind w:left="360"/>
      </w:pPr>
      <w:r>
        <w:rPr>
          <w:rFonts w:ascii="Arial" w:hAnsi="Arial"/>
          <w:sz w:val="21"/>
        </w:rPr>
        <w:t>Fusion &amp; Nettoyage : Combinaison des deux bases 4W, suppression des doublons, standardisation de la casse et des noms d'organisations/gouvernorats, validation des formats numériques.</w:t>
      </w:r>
    </w:p>
    <w:p>
      <w:pPr>
        <w:pStyle w:val="ListBullet"/>
        <w:spacing w:after="60"/>
        <w:ind w:left="360"/>
      </w:pPr>
      <w:r>
        <w:rPr>
          <w:rFonts w:ascii="Arial" w:hAnsi="Arial"/>
          <w:sz w:val="21"/>
        </w:rPr>
        <w:t>Saisie des réponses d'analyse : Identification exacte du nombre de bénéficiaires servis par PARC, classement du gouvernorat le plus assisté et évaluation du ratio bénéficiaires/activité par organisation.</w:t>
      </w:r>
    </w:p>
    <w:p>
      <w:pPr>
        <w:pStyle w:val="ListBullet"/>
        <w:spacing w:after="60"/>
        <w:ind w:left="360"/>
      </w:pPr>
      <w:r>
        <w:rPr>
          <w:rFonts w:ascii="Arial" w:hAnsi="Arial"/>
          <w:sz w:val="21"/>
        </w:rPr>
        <w:t>Composants du Dashboard interactif/statique : Graphique des bénéficiaires par organisation, Top 3 des activités, suivi temporel des activités par mois, carte de couverture géographique et taux de réalisation des cibles.</w:t>
      </w:r>
    </w:p>
    <w:p>
      <w:pPr>
        <w:keepNext/>
        <w:spacing w:before="200" w:after="80"/>
      </w:pPr>
      <w:r>
        <w:rPr>
          <w:rFonts w:ascii="Arial" w:hAnsi="Arial"/>
          <w:b/>
          <w:color w:val="2F5597"/>
          <w:sz w:val="24"/>
        </w:rPr>
        <w:t>Part 2 - Mapping DRC (Health Facilities &amp; Roads)</w:t>
      </w:r>
    </w:p>
    <w:p>
      <w:pPr>
        <w:pStyle w:val="ListBullet"/>
        <w:spacing w:after="60"/>
        <w:ind w:left="360"/>
      </w:pPr>
      <w:r>
        <w:rPr>
          <w:rFonts w:ascii="Arial" w:hAnsi="Arial"/>
          <w:sz w:val="21"/>
        </w:rPr>
        <w:t>Map A : Sélection par attributs ('TYPE' = 'HOPITAL GENERAL DE REFERENCE') puis sélection par emplacement ('Distance &lt; 3 km' de la couche 'hotosm_cod_roads'). Affichage sous forme de points avec étiquetage automatique.</w:t>
      </w:r>
    </w:p>
    <w:p>
      <w:pPr>
        <w:pStyle w:val="ListBullet"/>
        <w:spacing w:after="60"/>
        <w:ind w:left="360"/>
      </w:pPr>
      <w:r>
        <w:rPr>
          <w:rFonts w:ascii="Arial" w:hAnsi="Arial"/>
          <w:sz w:val="21"/>
        </w:rPr>
        <w:t>Map B : Jointure spatiale pour compter le nombre d'hôpitaux par Territoire (Admin 2) et production d'une carte thématique en choroplèthe mettant en évidence les zones de forte concentration.</w:t>
      </w:r>
    </w:p>
    <w:p>
      <w:pPr>
        <w:keepNext/>
        <w:spacing w:before="200" w:after="80"/>
      </w:pPr>
      <w:r>
        <w:rPr>
          <w:rFonts w:ascii="Arial" w:hAnsi="Arial"/>
          <w:b/>
          <w:color w:val="2F5597"/>
          <w:sz w:val="24"/>
        </w:rPr>
        <w:t>Part 3 - Humanitarian Needs Assessment Steps</w:t>
      </w:r>
    </w:p>
    <w:p>
      <w:pPr>
        <w:pStyle w:val="ListBullet"/>
        <w:spacing w:after="60"/>
        <w:ind w:left="360"/>
      </w:pPr>
      <w:r>
        <w:rPr>
          <w:rFonts w:ascii="Arial" w:hAnsi="Arial"/>
          <w:sz w:val="21"/>
        </w:rPr>
        <w:t>Étape 1 : Cadrage initial et revue documentaire (Secondary Data Review - SDR).</w:t>
      </w:r>
    </w:p>
    <w:p>
      <w:pPr>
        <w:pStyle w:val="ListBullet"/>
        <w:spacing w:after="60"/>
        <w:ind w:left="360"/>
      </w:pPr>
      <w:r>
        <w:rPr>
          <w:rFonts w:ascii="Arial" w:hAnsi="Arial"/>
          <w:sz w:val="21"/>
        </w:rPr>
        <w:t>Étape 2 : Conception des outils de collecte (MNA/EFSA) et choix de la méthode d'échantillonnage.</w:t>
      </w:r>
    </w:p>
    <w:p>
      <w:pPr>
        <w:pStyle w:val="ListBullet"/>
        <w:spacing w:after="60"/>
        <w:ind w:left="360"/>
      </w:pPr>
      <w:r>
        <w:rPr>
          <w:rFonts w:ascii="Arial" w:hAnsi="Arial"/>
          <w:sz w:val="21"/>
        </w:rPr>
        <w:t>Étape 3 : Déploiement sur le terrain et collecte de données primaires (KII, FGD, observations directes).</w:t>
      </w:r>
    </w:p>
    <w:p>
      <w:pPr>
        <w:pStyle w:val="ListBullet"/>
        <w:spacing w:after="60"/>
        <w:ind w:left="360"/>
      </w:pPr>
      <w:r>
        <w:rPr>
          <w:rFonts w:ascii="Arial" w:hAnsi="Arial"/>
          <w:sz w:val="21"/>
        </w:rPr>
        <w:t>Étape 4 : Nettoyage, triangulation, traitement et analyse statistique des données.</w:t>
      </w:r>
    </w:p>
    <w:p>
      <w:pPr>
        <w:pStyle w:val="ListBullet"/>
        <w:spacing w:after="60"/>
        <w:ind w:left="360"/>
      </w:pPr>
      <w:r>
        <w:rPr>
          <w:rFonts w:ascii="Arial" w:hAnsi="Arial"/>
          <w:sz w:val="21"/>
        </w:rPr>
        <w:t>Étape 5 : Restitution, rédaction du rapport d'évaluation des besoins et diffusion aux acteurs humanitaires.</w:t>
      </w:r>
    </w:p>
    <w:p>
      <w:pPr>
        <w:keepNext/>
        <w:spacing w:before="200" w:after="80"/>
      </w:pPr>
      <w:r>
        <w:rPr>
          <w:rFonts w:ascii="Arial" w:hAnsi="Arial"/>
          <w:b/>
          <w:color w:val="2F5597"/>
          <w:sz w:val="24"/>
        </w:rPr>
        <w:t>Part 4 - Communication aux Partenaires du Cluster</w:t>
      </w:r>
    </w:p>
    <w:tbl>
      <w:tblPr>
        <w:tblW w:type="auto" w:w="0"/>
        <w:jc w:val="center"/>
        <w:tblLayout w:type="fixed"/>
        <w:tblLook w:firstColumn="1" w:firstRow="1" w:lastColumn="0" w:lastRow="0" w:noHBand="0" w:noVBand="1" w:val="04A0"/>
      </w:tblPr>
      <w:tblGrid>
        <w:gridCol w:w="9360"/>
      </w:tblGrid>
      <w:tr>
        <w:tc>
          <w:tcPr>
            <w:tcW w:type="dxa" w:w="9360"/>
            <w:shd w:fill="F2F4F7"/>
            <w:tcMar>
              <w:top w:w="140" w:type="dxa"/>
              <w:bottom w:w="140" w:type="dxa"/>
              <w:left w:w="200" w:type="dxa"/>
              <w:right w:w="200" w:type="dxa"/>
            </w:tcMar>
            <w:tcBorders>
              <w:top w:val="none"/>
              <w:left w:val="single" w:sz="24" w:space="0" w:color="1F4E78"/>
              <w:bottom w:val="none"/>
              <w:right w:val="none"/>
            </w:tcBorders>
          </w:tcPr>
          <w:p>
            <w:pPr>
              <w:spacing w:after="40"/>
            </w:pPr>
            <w:r>
              <w:rPr>
                <w:b/>
                <w:color w:val="1F4E78"/>
              </w:rPr>
              <w:t>Note de Communication</w:t>
              <w:br/>
            </w:r>
            <w:r>
              <w:rPr>
                <w:i/>
                <w:sz w:val="20"/>
              </w:rPr>
              <w:t>Objet : Amélioration de la qualité et du respect des délais de transmission des données 4W</w:t>
              <w:br/>
              <w:br/>
              <w:t>Chers partenaires du Cluster,</w:t>
              <w:br/>
              <w:br/>
              <w:t>Nous tenons à remercier l'ensemble des organisations pour leurs efforts continus sur le terrain. Après analyse de notre dernier cycle de reporting, nous constatons que seuls 12 partenaires sur 37 ont transmis leurs données dans les délais et selon le format officiel.</w:t>
              <w:br/>
              <w:br/>
              <w:t>Afin de garantir une cartographie exacte des réponses et de mieux plaider pour les financements de notre secteur, nous vous rappelons l'importance d'utiliser exclusivement la matrice 4W v2019 révisée. Des sessions d'appui technique seront organisées dès la semaine prochaine pour accompagner les équipes dans la prise en main de cet outil.</w:t>
              <w:br/>
              <w:br/>
              <w:t>Merci pour votre collaboration essentielle.</w:t>
              <w:br/>
              <w:br/>
              <w:t>L'équipe Information Management</w:t>
            </w:r>
          </w:p>
        </w:tc>
      </w:tr>
    </w:tbl>
    <w:p>
      <w:pPr>
        <w:keepNext/>
        <w:spacing w:before="280" w:after="120"/>
        <w:pBdr>
          <w:bottom w:val="single" w:sz="12" w:space="4" w:color="1F4E78"/>
        </w:pBdr>
      </w:pPr>
      <w:r>
        <w:rPr>
          <w:rFonts w:ascii="Arial" w:hAnsi="Arial"/>
          <w:b/>
          <w:color w:val="1F4E78"/>
          <w:sz w:val="28"/>
        </w:rPr>
        <w:t>Source 4 : Test Database &amp; Fonctions Excel</w:t>
      </w:r>
    </w:p>
    <w:p>
      <w:pPr>
        <w:keepNext/>
        <w:spacing w:before="200" w:after="80"/>
      </w:pPr>
      <w:r>
        <w:rPr>
          <w:rFonts w:ascii="Arial" w:hAnsi="Arial"/>
          <w:b/>
          <w:color w:val="2F5597"/>
          <w:sz w:val="24"/>
        </w:rPr>
        <w:t>1. Analyse TCD (Tableau Croisé Dynamique)</w:t>
      </w:r>
    </w:p>
    <w:p>
      <w:pPr>
        <w:pStyle w:val="ListBullet"/>
        <w:spacing w:after="60"/>
        <w:ind w:left="360"/>
      </w:pPr>
      <w:r>
        <w:rPr>
          <w:rFonts w:ascii="Arial" w:hAnsi="Arial"/>
          <w:sz w:val="21"/>
        </w:rPr>
        <w:t>Distribution des âges : Création d'un TCD avec 'Âge' en ligne et 'Identifiant' en valeur exprimée en '% du total général'.</w:t>
      </w:r>
    </w:p>
    <w:p>
      <w:pPr>
        <w:pStyle w:val="ListBullet"/>
        <w:spacing w:after="60"/>
        <w:ind w:left="360"/>
      </w:pPr>
      <w:r>
        <w:rPr>
          <w:rFonts w:ascii="Arial" w:hAnsi="Arial"/>
          <w:sz w:val="21"/>
        </w:rPr>
        <w:t>Groupement d'âge : Création de tranches personnalisées dans le TCD : 10-15 ans, 15-20 ans, 20-30 ans, et &gt;30 ans.</w:t>
      </w:r>
    </w:p>
    <w:p>
      <w:pPr>
        <w:keepNext/>
        <w:spacing w:before="200" w:after="80"/>
      </w:pPr>
      <w:r>
        <w:rPr>
          <w:rFonts w:ascii="Arial" w:hAnsi="Arial"/>
          <w:b/>
          <w:color w:val="2F5597"/>
          <w:sz w:val="24"/>
        </w:rPr>
        <w:t>2. Fonctions de Dates Excel</w:t>
      </w:r>
    </w:p>
    <w:p>
      <w:pPr>
        <w:pStyle w:val="ListBullet"/>
        <w:spacing w:after="60"/>
        <w:ind w:left="360"/>
      </w:pPr>
      <w:r>
        <w:rPr>
          <w:rFonts w:ascii="Arial" w:hAnsi="Arial"/>
          <w:sz w:val="21"/>
        </w:rPr>
        <w:t>Calcul des jours ouvrés : Utilisation de la formule =NB.JOURS.OUVRES(date_debut, date_fin).</w:t>
      </w:r>
    </w:p>
    <w:p>
      <w:pPr>
        <w:pStyle w:val="ListBullet"/>
        <w:spacing w:after="60"/>
        <w:ind w:left="360"/>
      </w:pPr>
      <w:r>
        <w:rPr>
          <w:rFonts w:ascii="Arial" w:hAnsi="Arial"/>
          <w:sz w:val="21"/>
        </w:rPr>
        <w:t>Calcul de date projetée : Utilisation de la formule =WORKDAY(date_depart, nb_jours) (ex. =WORKDAY("01/01/2010", 100)).</w:t>
      </w:r>
    </w:p>
    <w:p>
      <w:pPr>
        <w:keepNext/>
        <w:spacing w:before="200" w:after="80"/>
      </w:pPr>
      <w:r>
        <w:rPr>
          <w:rFonts w:ascii="Arial" w:hAnsi="Arial"/>
          <w:b/>
          <w:color w:val="2F5597"/>
          <w:sz w:val="24"/>
        </w:rPr>
        <w:t>3. Fonctions de Recherche et Statistiques</w:t>
      </w:r>
    </w:p>
    <w:p>
      <w:pPr>
        <w:pStyle w:val="ListBullet"/>
        <w:spacing w:after="60"/>
        <w:ind w:left="360"/>
      </w:pPr>
      <w:r>
        <w:rPr>
          <w:rFonts w:ascii="Arial" w:hAnsi="Arial"/>
          <w:sz w:val="21"/>
        </w:rPr>
        <w:t>Recherche ville (Bordeaux) &amp; Élève (Jeannette) : Utilisation des fonctions =RECHERCHEV() / =VLOOKUP() ou du couple =INDEX(..., MATCH(...)).</w:t>
      </w:r>
    </w:p>
    <w:p>
      <w:pPr>
        <w:pStyle w:val="ListBullet"/>
        <w:spacing w:after="60"/>
        <w:ind w:left="360"/>
      </w:pPr>
      <w:r>
        <w:rPr>
          <w:rFonts w:ascii="Arial" w:hAnsi="Arial"/>
          <w:sz w:val="21"/>
        </w:rPr>
        <w:t>Moyenne conditionnelle (QI &gt; 140 et QI &lt; 140) : Utilisation de la formule =MOYENNE.SI(plage_QI, "&gt;140", plage_valeurs) dans D12 et =MOYENNE.SI(plage_QI, "&lt;140", plage_valeurs) dans D13.</w:t>
      </w:r>
    </w:p>
    <w:p>
      <w:pPr>
        <w:pStyle w:val="ListBullet"/>
        <w:spacing w:after="60"/>
        <w:ind w:left="360"/>
      </w:pPr>
      <w:r>
        <w:rPr>
          <w:rFonts w:ascii="Arial" w:hAnsi="Arial"/>
          <w:sz w:val="21"/>
        </w:rPr>
        <w:t>Représentation graphique : Génération d'un graphique linéaire d'évolution temporelle (1999-2010) selon la courbe de cours spécifiée.</w:t>
      </w:r>
    </w:p>
    <w:p>
      <w:pPr>
        <w:keepNext/>
        <w:spacing w:before="280" w:after="120"/>
        <w:pBdr>
          <w:bottom w:val="single" w:sz="12" w:space="4" w:color="1F4E78"/>
        </w:pBdr>
      </w:pPr>
      <w:r>
        <w:rPr>
          <w:rFonts w:ascii="Arial" w:hAnsi="Arial"/>
          <w:b/>
          <w:color w:val="1F4E78"/>
          <w:sz w:val="28"/>
        </w:rPr>
        <w:t>Source 5 : Guide d'Entretien - Spécialiste ICT4D &amp; BD (CRS)</w:t>
      </w:r>
    </w:p>
    <w:p>
      <w:r>
        <w:t>Grille d'évaluation technique et structuration des compétences pour la gestion des données de santé/nutrition et distribution.</w:t>
      </w:r>
    </w:p>
    <w:tbl>
      <w:tblPr>
        <w:tblW w:type="auto" w:w="0"/>
        <w:jc w:val="center"/>
        <w:tblLook w:firstColumn="1" w:firstRow="1" w:lastColumn="0" w:lastRow="0" w:noHBand="0" w:noVBand="1" w:val="04A0"/>
      </w:tblPr>
      <w:tblGrid>
        <w:gridCol w:w="3120"/>
        <w:gridCol w:w="3120"/>
        <w:gridCol w:w="3120"/>
      </w:tblGrid>
      <w:tr>
        <w:tc>
          <w:tcPr>
            <w:tcW w:type="dxa" w:w="3120"/>
            <w:shd w:fill="1F4E78"/>
          </w:tcPr>
          <w:p>
            <w:r>
              <w:rPr>
                <w:b/>
                <w:color w:val="FFFFFF"/>
              </w:rPr>
              <w:t>N° / Thématique</w:t>
            </w:r>
          </w:p>
        </w:tc>
        <w:tc>
          <w:tcPr>
            <w:tcW w:type="dxa" w:w="3120"/>
            <w:shd w:fill="1F4E78"/>
          </w:tcPr>
          <w:p>
            <w:r>
              <w:rPr>
                <w:b/>
                <w:color w:val="FFFFFF"/>
              </w:rPr>
              <w:t>Question Technique</w:t>
            </w:r>
          </w:p>
        </w:tc>
        <w:tc>
          <w:tcPr>
            <w:tcW w:type="dxa" w:w="3120"/>
            <w:shd w:fill="1F4E78"/>
          </w:tcPr>
          <w:p>
            <w:r>
              <w:rPr>
                <w:b/>
                <w:color w:val="FFFFFF"/>
              </w:rPr>
              <w:t>Éléments de Réponse &amp; Bonnes Pratiques</w:t>
            </w:r>
          </w:p>
        </w:tc>
      </w:tr>
      <w:tr>
        <w:tc>
          <w:tcPr>
            <w:tcW w:type="dxa" w:w="3120"/>
          </w:tcPr>
          <w:p>
            <w:r>
              <w:t>Q3 - Requête SQL</w:t>
            </w:r>
          </w:p>
        </w:tc>
        <w:tc>
          <w:tcPr>
            <w:tcW w:type="dxa" w:w="3120"/>
          </w:tcPr>
          <w:p>
            <w:r>
              <w:t>Sens de l'intégrité référentielle dans le modèle relationnel</w:t>
            </w:r>
          </w:p>
        </w:tc>
        <w:tc>
          <w:tcPr>
            <w:tcW w:type="dxa" w:w="3120"/>
          </w:tcPr>
          <w:p>
            <w:r>
              <w:t>Garantie de la cohérence entre tables via la liaison de clés primaires (PK) et clés étrangères (FK). Empêche les orphelins.</w:t>
            </w:r>
          </w:p>
        </w:tc>
      </w:tr>
      <w:tr>
        <w:tc>
          <w:tcPr>
            <w:tcW w:type="dxa" w:w="3120"/>
          </w:tcPr>
          <w:p>
            <w:r>
              <w:t>Q5 - Requête SQL</w:t>
            </w:r>
          </w:p>
        </w:tc>
        <w:tc>
          <w:tcPr>
            <w:tcW w:type="dxa" w:w="3120"/>
          </w:tcPr>
          <w:p>
            <w:r>
              <w:t>Différence entre JOIN et UNION</w:t>
            </w:r>
          </w:p>
        </w:tc>
        <w:tc>
          <w:tcPr>
            <w:tcW w:type="dxa" w:w="3120"/>
          </w:tcPr>
          <w:p>
            <w:r>
              <w:t>JOIN combine horizontalement des colonnes de différentes tables sur une clé commune; UNION combine verticalement des lignes de deux requêtes ayant la même structure.</w:t>
            </w:r>
          </w:p>
        </w:tc>
      </w:tr>
      <w:tr>
        <w:tc>
          <w:tcPr>
            <w:tcW w:type="dxa" w:w="3120"/>
          </w:tcPr>
          <w:p>
            <w:r>
              <w:t>Q7 - Architecture</w:t>
            </w:r>
          </w:p>
        </w:tc>
        <w:tc>
          <w:tcPr>
            <w:tcW w:type="dxa" w:w="3120"/>
          </w:tcPr>
          <w:p>
            <w:r>
              <w:t>Mécanismes pour limiter les doublons d'enregistrement</w:t>
            </w:r>
          </w:p>
        </w:tc>
        <w:tc>
          <w:tcPr>
            <w:tcW w:type="dxa" w:w="3120"/>
          </w:tcPr>
          <w:p>
            <w:r>
              <w:t>Mise en place d'identifiants uniques (UUID/QR codes), contraintes d'unicité SQL (UNIQUE index) et vérifications de similarité à la saisie.</w:t>
            </w:r>
          </w:p>
        </w:tc>
      </w:tr>
      <w:tr>
        <w:tc>
          <w:tcPr>
            <w:tcW w:type="dxa" w:w="3120"/>
          </w:tcPr>
          <w:p>
            <w:r>
              <w:t>Q10 - Gestion Bénéficiaires</w:t>
            </w:r>
          </w:p>
        </w:tc>
        <w:tc>
          <w:tcPr>
            <w:tcW w:type="dxa" w:w="3120"/>
          </w:tcPr>
          <w:p>
            <w:r>
              <w:t>Gestion de la sortie de projet d'une bénéficiaire</w:t>
            </w:r>
          </w:p>
        </w:tc>
        <w:tc>
          <w:tcPr>
            <w:tcW w:type="dxa" w:w="3120"/>
          </w:tcPr>
          <w:p>
            <w:r>
              <w:t>Transfert automatisé de la bénéficiaire de la table active vers une table d'historique (INSERT INTO history ... DELETE FROM active) pour maintenir la traçabilité.</w:t>
            </w:r>
          </w:p>
        </w:tc>
      </w:tr>
      <w:tr>
        <w:tc>
          <w:tcPr>
            <w:tcW w:type="dxa" w:w="3120"/>
          </w:tcPr>
          <w:p>
            <w:r>
              <w:t>Q13 - Outils Mobile</w:t>
            </w:r>
          </w:p>
        </w:tc>
        <w:tc>
          <w:tcPr>
            <w:tcW w:type="dxa" w:w="3120"/>
          </w:tcPr>
          <w:p>
            <w:r>
              <w:t>Type de données pour l'indicateur d'adoption de pratiques</w:t>
            </w:r>
          </w:p>
        </w:tc>
        <w:tc>
          <w:tcPr>
            <w:tcW w:type="dxa" w:w="3120"/>
          </w:tcPr>
          <w:p>
            <w:r>
              <w:t>Utilisation de questions à choix multiples (select_multiple) combinées avec un champ calculé (calculate) comptant le nombre d'options cochées (count-selected).</w:t>
            </w:r>
          </w:p>
        </w:tc>
      </w:tr>
      <w:tr>
        <w:tc>
          <w:tcPr>
            <w:tcW w:type="dxa" w:w="3120"/>
          </w:tcPr>
          <w:p>
            <w:r>
              <w:t>Q14 - SIG &amp; Décision</w:t>
            </w:r>
          </w:p>
        </w:tc>
        <w:tc>
          <w:tcPr>
            <w:tcW w:type="dxa" w:w="3120"/>
          </w:tcPr>
          <w:p>
            <w:r>
              <w:t>Cartographie dans la planification de distribution de vivres</w:t>
            </w:r>
          </w:p>
        </w:tc>
        <w:tc>
          <w:tcPr>
            <w:tcW w:type="dxa" w:w="3120"/>
          </w:tcPr>
          <w:p>
            <w:r>
              <w:t>Analyse d'accessibilité géographique, identification des zones d'ombre, optimisation des itinéraires de transport et ciblage basé sur la vulnérabilité spatiale.</w:t>
            </w:r>
          </w:p>
        </w:tc>
      </w:tr>
    </w:tbl>
    <w:p>
      <w:pPr>
        <w:keepNext/>
        <w:spacing w:before="280" w:after="120"/>
        <w:pBdr>
          <w:bottom w:val="single" w:sz="12" w:space="4" w:color="1F4E78"/>
        </w:pBdr>
      </w:pPr>
      <w:r>
        <w:rPr>
          <w:rFonts w:ascii="Arial" w:hAnsi="Arial"/>
          <w:b/>
          <w:color w:val="1F4E78"/>
          <w:sz w:val="28"/>
        </w:rPr>
        <w:t>Source 6 : Test Écrit Théorique - Data Analyst (Zihalirwa Nshombo Alphonse)</w:t>
      </w:r>
    </w:p>
    <w:p>
      <w:r>
        <w:t>Évaluation des connaissances théoriques M&amp;E, statistiques et Excel. Note maximale : 38 points.</w:t>
      </w:r>
    </w:p>
    <w:p>
      <w:pPr>
        <w:keepNext/>
        <w:spacing w:before="200" w:after="80"/>
      </w:pPr>
      <w:r>
        <w:rPr>
          <w:rFonts w:ascii="Arial" w:hAnsi="Arial"/>
          <w:b/>
          <w:color w:val="2F5597"/>
          <w:sz w:val="24"/>
        </w:rPr>
        <w:t>1. Rôle du Data Manager en appui au secteur MEAL</w:t>
      </w:r>
    </w:p>
    <w:p>
      <w:r>
        <w:t>Le Data Manager appuie le MEAL dans la collecte, l'encodage, le nettoyage, l'analyse et la restitution des données d'enquête et de suivi. Il produit des rapports fiables pour la hiérarchie, les bailleurs et alimente les plateformes d'information (ex. ActivityInfo). Il participe également au renforcement des capacités des enquêteurs.</w:t>
      </w:r>
    </w:p>
    <w:p>
      <w:pPr>
        <w:keepNext/>
        <w:spacing w:before="200" w:after="80"/>
      </w:pPr>
      <w:r>
        <w:rPr>
          <w:rFonts w:ascii="Arial" w:hAnsi="Arial"/>
          <w:b/>
          <w:color w:val="2F5597"/>
          <w:sz w:val="24"/>
        </w:rPr>
        <w:t>2. Concepts Clés MEAL &amp; Humanitaires</w:t>
      </w:r>
    </w:p>
    <w:p>
      <w:pPr>
        <w:pStyle w:val="ListBullet"/>
        <w:spacing w:after="60"/>
        <w:ind w:left="360"/>
      </w:pPr>
      <w:r>
        <w:rPr>
          <w:rFonts w:ascii="Arial" w:hAnsi="Arial"/>
          <w:sz w:val="21"/>
        </w:rPr>
        <w:t>Indicateur de performance : Unité de mesure permettant d'évaluer la réalisation d'un objectif stratégique. Ex : Taux de malnutrition aiguë sévère dans la zone X réduit à 4.5%.</w:t>
      </w:r>
    </w:p>
    <w:p>
      <w:pPr>
        <w:pStyle w:val="ListBullet"/>
        <w:spacing w:after="60"/>
        <w:ind w:left="360"/>
      </w:pPr>
      <w:r>
        <w:rPr>
          <w:rFonts w:ascii="Arial" w:hAnsi="Arial"/>
          <w:sz w:val="21"/>
        </w:rPr>
        <w:t>Théorie du Changement : Chaîne explicative logique de cause à effet décrivant comment les interventions d'un projet mènent à des changements positifs durables.</w:t>
      </w:r>
    </w:p>
    <w:p>
      <w:pPr>
        <w:pStyle w:val="ListBullet"/>
        <w:spacing w:after="60"/>
        <w:ind w:left="360"/>
      </w:pPr>
      <w:r>
        <w:rPr>
          <w:rFonts w:ascii="Arial" w:hAnsi="Arial"/>
          <w:sz w:val="21"/>
        </w:rPr>
        <w:t>Gestion Axée sur les Résultats (GAR) : Approche de gestion axée sur la définition de résultats mesurables et sur le choix des méthodes/outils appropriés pour les atteindre.</w:t>
      </w:r>
    </w:p>
    <w:p>
      <w:pPr>
        <w:pStyle w:val="ListBullet"/>
        <w:spacing w:after="60"/>
        <w:ind w:left="360"/>
      </w:pPr>
      <w:r>
        <w:rPr>
          <w:rFonts w:ascii="Arial" w:hAnsi="Arial"/>
          <w:sz w:val="21"/>
        </w:rPr>
        <w:t>Principe 'DO NO HARM' : Obligation de concevoir et d'exécuter l'action humanitaire de manière à éviter de créer ou d'aggraver les tensions, conflits ou vulnérabilités au sein des communautés bénéficiaires.</w:t>
      </w:r>
    </w:p>
    <w:p>
      <w:pPr>
        <w:keepNext/>
        <w:spacing w:before="200" w:after="80"/>
      </w:pPr>
      <w:r>
        <w:rPr>
          <w:rFonts w:ascii="Arial" w:hAnsi="Arial"/>
          <w:b/>
          <w:color w:val="2F5597"/>
          <w:sz w:val="24"/>
        </w:rPr>
        <w:t>3. Maîtrise des Outils Excel &amp; Statistiques</w:t>
      </w:r>
    </w:p>
    <w:p>
      <w:pPr>
        <w:pStyle w:val="ListBullet"/>
        <w:spacing w:after="60"/>
        <w:ind w:left="360"/>
      </w:pPr>
      <w:r>
        <w:rPr>
          <w:rFonts w:ascii="Arial" w:hAnsi="Arial"/>
          <w:sz w:val="21"/>
        </w:rPr>
        <w:t>Mise en forme conditionnelle : Utilisée pour appliquer automatiquement des formats visuels aux cellules en fonction de règles spécifiques (ex. surbrillance des anomalies ou dépassements).</w:t>
      </w:r>
    </w:p>
    <w:p>
      <w:pPr>
        <w:pStyle w:val="ListBullet"/>
        <w:spacing w:after="60"/>
        <w:ind w:left="360"/>
      </w:pPr>
      <w:r>
        <w:rPr>
          <w:rFonts w:ascii="Arial" w:hAnsi="Arial"/>
          <w:sz w:val="21"/>
        </w:rPr>
        <w:t>Validation des données : Utilisée pour restreindre la saisie utilisateur à des listes déroulantes prédéfinies, évitant les erreurs de frappe et standardisant la donnée.</w:t>
      </w:r>
    </w:p>
    <w:p>
      <w:pPr>
        <w:pStyle w:val="ListBullet"/>
        <w:spacing w:after="60"/>
        <w:ind w:left="360"/>
      </w:pPr>
      <w:r>
        <w:rPr>
          <w:rFonts w:ascii="Arial" w:hAnsi="Arial"/>
          <w:sz w:val="21"/>
        </w:rPr>
        <w:t>Formule SI (IF) : Permet d'exécuter des tests logiques. Ex : =SI(F2&gt;=70; "admis"; "refusé").</w:t>
      </w:r>
    </w:p>
    <w:p>
      <w:pPr>
        <w:pStyle w:val="ListBullet"/>
        <w:spacing w:after="60"/>
        <w:ind w:left="360"/>
      </w:pPr>
      <w:r>
        <w:rPr>
          <w:rFonts w:ascii="Arial" w:hAnsi="Arial"/>
          <w:sz w:val="21"/>
        </w:rPr>
        <w:t>Hypothèse Nulle (H0) : Hypothèse statistique selon laquelle il n'y a pas de différence significative entre deux paramètres ou deux groupes.</w:t>
      </w:r>
    </w:p>
    <w:p>
      <w:pPr>
        <w:pStyle w:val="ListBullet"/>
        <w:spacing w:after="60"/>
        <w:ind w:left="360"/>
      </w:pPr>
      <w:r>
        <w:rPr>
          <w:rFonts w:ascii="Arial" w:hAnsi="Arial"/>
          <w:sz w:val="21"/>
        </w:rPr>
        <w:t>Analyse de Régression : Procédure statistique permettant d'évaluer la relation entre une variable dépendante et une ou plusieurs variables indépendantes.</w:t>
      </w:r>
    </w:p>
    <w:p>
      <w:pPr>
        <w:keepNext/>
        <w:spacing w:before="280" w:after="120"/>
        <w:pBdr>
          <w:bottom w:val="single" w:sz="12" w:space="4" w:color="1F4E78"/>
        </w:pBdr>
      </w:pPr>
      <w:r>
        <w:rPr>
          <w:rFonts w:ascii="Arial" w:hAnsi="Arial"/>
          <w:b/>
          <w:color w:val="1F4E78"/>
          <w:sz w:val="28"/>
        </w:rPr>
        <w:t>Source 7 : Test de Recrutement Data - Santé &amp; Nutrition (MAGNA)</w:t>
      </w:r>
    </w:p>
    <w:p>
      <w:r>
        <w:t>Durée : 1 heure | Évaluation sur 40 points</w:t>
      </w:r>
    </w:p>
    <w:p>
      <w:pPr>
        <w:keepNext/>
        <w:spacing w:before="200" w:after="80"/>
      </w:pPr>
      <w:r>
        <w:rPr>
          <w:rFonts w:ascii="Arial" w:hAnsi="Arial"/>
          <w:b/>
          <w:color w:val="2F5597"/>
          <w:sz w:val="24"/>
        </w:rPr>
        <w:t>Questions Théoriques et Opérationnelles :</w:t>
      </w:r>
    </w:p>
    <w:p>
      <w:pPr>
        <w:keepNext/>
        <w:spacing w:before="120" w:after="40"/>
      </w:pPr>
      <w:r>
        <w:rPr>
          <w:rFonts w:ascii="Arial" w:hAnsi="Arial"/>
          <w:b/>
          <w:i/>
          <w:color w:val="262626"/>
          <w:sz w:val="22"/>
        </w:rPr>
        <w:t>1. Calcul de la prévalence de la malnutrition :</w:t>
      </w:r>
    </w:p>
    <w:p>
      <w:r>
        <w:t>Calculée à partir des mesures anthropométriques (Poids, Taille, Âge, Périmètre Brachial/PB, présence d'œdèmes) rapportées aux normes OMS (Z-score Poids-pour-Taille &lt; -2 ou &lt; -3).</w:t>
      </w:r>
    </w:p>
    <w:p>
      <w:pPr>
        <w:keepNext/>
        <w:spacing w:before="120" w:after="40"/>
      </w:pPr>
      <w:r>
        <w:rPr>
          <w:rFonts w:ascii="Arial" w:hAnsi="Arial"/>
          <w:b/>
          <w:i/>
          <w:color w:val="262626"/>
          <w:sz w:val="22"/>
        </w:rPr>
        <w:t>2. Indicateurs de suivi nutritionnel chez l'enfant :</w:t>
      </w:r>
    </w:p>
    <w:p>
      <w:r>
        <w:t>Paramètres : Poids, Taille, PB, Âge, Œdèmes bilatéraux. Indicateurs : Taux de Malnutrition Aiguë Sévère (MAS), Taux de Malnutrition Aiguë Modérée (MAM), Taux de guérison, de décès et d'abandon dans les programmes UNTI/UNTA.</w:t>
      </w:r>
    </w:p>
    <w:p>
      <w:pPr>
        <w:keepNext/>
        <w:spacing w:before="120" w:after="40"/>
      </w:pPr>
      <w:r>
        <w:rPr>
          <w:rFonts w:ascii="Arial" w:hAnsi="Arial"/>
          <w:b/>
          <w:i/>
          <w:color w:val="262626"/>
          <w:sz w:val="22"/>
        </w:rPr>
        <w:t>3. Collecte des données nutritionnelles sur le terrain :</w:t>
      </w:r>
    </w:p>
    <w:p>
      <w:r>
        <w:t>Réalisée via des enquetes méthodologiques (ex. SMART) utilisant des questionnaires électroniques sur tablettes avec matériel anthropométrique étalonné.</w:t>
      </w:r>
    </w:p>
    <w:p>
      <w:pPr>
        <w:keepNext/>
        <w:spacing w:before="120" w:after="40"/>
      </w:pPr>
      <w:r>
        <w:rPr>
          <w:rFonts w:ascii="Arial" w:hAnsi="Arial"/>
          <w:b/>
          <w:i/>
          <w:color w:val="262626"/>
          <w:sz w:val="22"/>
        </w:rPr>
        <w:t>4. Consentement éclairé et Confidentialité :</w:t>
      </w:r>
    </w:p>
    <w:p>
      <w:r>
        <w:t>Le consentement est une obligation éthique et légale garantissant le respect des droits de la personne. La confidentialité est assurée par l'anonymisation des bases de données (utilisation de codes ID) et la sécurisation des accès.</w:t>
      </w:r>
    </w:p>
    <w:p>
      <w:pPr>
        <w:keepNext/>
        <w:spacing w:before="280" w:after="120"/>
        <w:pBdr>
          <w:bottom w:val="single" w:sz="12" w:space="4" w:color="1F4E78"/>
        </w:pBdr>
      </w:pPr>
      <w:r>
        <w:rPr>
          <w:rFonts w:ascii="Arial" w:hAnsi="Arial"/>
          <w:b/>
          <w:color w:val="1F4E78"/>
          <w:sz w:val="28"/>
        </w:rPr>
        <w:t>Source 8 : Test Écrit IMO Cluster Abris RDC (UNOPS / UNHCR)</w:t>
      </w:r>
    </w:p>
    <w:p>
      <w:r>
        <w:t>Durée : 3 heures Maximum | Support Excel : Exercise.xlsx</w:t>
      </w:r>
    </w:p>
    <w:p>
      <w:pPr>
        <w:keepNext/>
        <w:spacing w:before="200" w:after="80"/>
      </w:pPr>
      <w:r>
        <w:rPr>
          <w:rFonts w:ascii="Arial" w:hAnsi="Arial"/>
          <w:b/>
          <w:color w:val="2F5597"/>
          <w:sz w:val="24"/>
        </w:rPr>
        <w:t>Question 1 : Synthèse des jours de support du personnel GSC (Power BI / Excel)</w:t>
      </w:r>
    </w:p>
    <w:p>
      <w:pPr>
        <w:pStyle w:val="ListBullet"/>
        <w:spacing w:after="60"/>
        <w:ind w:left="360"/>
      </w:pPr>
      <w:r>
        <w:rPr>
          <w:rFonts w:ascii="Arial" w:hAnsi="Arial"/>
          <w:sz w:val="21"/>
        </w:rPr>
        <w:t>Production de visualisations montrant la répartition des jours travaillés par organisation hôte (UNHCR: 694, IOM: 359, IFRC: 285, ACTED: 266, NRC: 154), par région (N/A, Africa, Asia, MENA) et par type d'activité.</w:t>
      </w:r>
    </w:p>
    <w:p>
      <w:pPr>
        <w:pStyle w:val="ListBullet"/>
        <w:spacing w:after="60"/>
        <w:ind w:left="360"/>
      </w:pPr>
      <w:r>
        <w:rPr>
          <w:rFonts w:ascii="Arial" w:hAnsi="Arial"/>
          <w:sz w:val="21"/>
        </w:rPr>
        <w:t>Création d'un tableau de bord synthétique interactif intégrant des filtres chronologiques et géographiques.</w:t>
      </w:r>
    </w:p>
    <w:p>
      <w:pPr>
        <w:keepNext/>
        <w:spacing w:before="200" w:after="80"/>
      </w:pPr>
      <w:r>
        <w:rPr>
          <w:rFonts w:ascii="Arial" w:hAnsi="Arial"/>
          <w:b/>
          <w:color w:val="2F5597"/>
          <w:sz w:val="24"/>
        </w:rPr>
        <w:t>Question 2 : Plan d'Action d'Urgence à 7 Jours (Séisme de Kalemie, Tanganyika)</w:t>
      </w:r>
    </w:p>
    <w:p>
      <w:pPr>
        <w:pStyle w:val="ListBullet"/>
        <w:spacing w:after="60"/>
        <w:ind w:left="360"/>
      </w:pPr>
      <w:r>
        <w:rPr>
          <w:rFonts w:ascii="Arial" w:hAnsi="Arial"/>
          <w:sz w:val="21"/>
        </w:rPr>
        <w:t>Jour 1 : Activation immédiate du plan d'urgence du Cluster Abris et évaluation rapide de sécurité avec UNDSS.</w:t>
      </w:r>
    </w:p>
    <w:p>
      <w:pPr>
        <w:pStyle w:val="ListBullet"/>
        <w:spacing w:after="60"/>
        <w:ind w:left="360"/>
      </w:pPr>
      <w:r>
        <w:rPr>
          <w:rFonts w:ascii="Arial" w:hAnsi="Arial"/>
          <w:sz w:val="21"/>
        </w:rPr>
        <w:t>Jour 2 : Établissement du Centre d'Opérations d'Urgence et convocation de la première réunion d'alignement des partenaires.</w:t>
      </w:r>
    </w:p>
    <w:p>
      <w:pPr>
        <w:pStyle w:val="ListBullet"/>
        <w:spacing w:after="60"/>
        <w:ind w:left="360"/>
      </w:pPr>
      <w:r>
        <w:rPr>
          <w:rFonts w:ascii="Arial" w:hAnsi="Arial"/>
          <w:sz w:val="21"/>
        </w:rPr>
        <w:t>Jour 3 : Déploiement des évaluations rapides des besoins (MIRA/NFI) et inventaire des stocks d'urgence disponibles.</w:t>
      </w:r>
    </w:p>
    <w:p>
      <w:pPr>
        <w:pStyle w:val="ListBullet"/>
        <w:spacing w:after="60"/>
        <w:ind w:left="360"/>
      </w:pPr>
      <w:r>
        <w:rPr>
          <w:rFonts w:ascii="Arial" w:hAnsi="Arial"/>
          <w:sz w:val="21"/>
        </w:rPr>
        <w:t>Jour 4-5 : Cartographie de l'impact, identification des zones prioritaires et coordination intersectorielle (WASH, Santé, Protection).</w:t>
      </w:r>
    </w:p>
    <w:p>
      <w:pPr>
        <w:pStyle w:val="ListBullet"/>
        <w:spacing w:after="60"/>
        <w:ind w:left="360"/>
      </w:pPr>
      <w:r>
        <w:rPr>
          <w:rFonts w:ascii="Arial" w:hAnsi="Arial"/>
          <w:sz w:val="21"/>
        </w:rPr>
        <w:t>Jour 6-7 : Finalisation du plan de réponse Abris/EHA d'urgence, publication du premier Flash Update/Dashboard et plaidoyer financier.</w:t>
      </w:r>
    </w:p>
    <w:p>
      <w:pPr>
        <w:keepNext/>
        <w:spacing w:before="200" w:after="80"/>
      </w:pPr>
      <w:r>
        <w:rPr>
          <w:rFonts w:ascii="Arial" w:hAnsi="Arial"/>
          <w:b/>
          <w:color w:val="2F5597"/>
          <w:sz w:val="24"/>
        </w:rPr>
        <w:t>Question 3 : Plaidoyer auprès des Bailleurs (Présentation PowerPoint 15 min)</w:t>
      </w:r>
    </w:p>
    <w:p>
      <w:pPr>
        <w:pStyle w:val="ListBullet"/>
        <w:spacing w:after="60"/>
        <w:ind w:left="360"/>
      </w:pPr>
      <w:r>
        <w:rPr>
          <w:rFonts w:ascii="Arial" w:hAnsi="Arial"/>
          <w:sz w:val="21"/>
        </w:rPr>
        <w:t>Importance du système IM : Centralisation de l'information, évitement du double comptage, ciblage précis des personnes vulnérables et démonstration de la redevabilité.</w:t>
      </w:r>
    </w:p>
    <w:p>
      <w:pPr>
        <w:pStyle w:val="ListBullet"/>
        <w:spacing w:after="60"/>
        <w:ind w:left="360"/>
      </w:pPr>
      <w:r>
        <w:rPr>
          <w:rFonts w:ascii="Arial" w:hAnsi="Arial"/>
          <w:sz w:val="21"/>
        </w:rPr>
        <w:t>Défis &amp; Mitigations : Incohérence des données (mitigée par la standardisation 4W), retard de soumission (mitigé par des rappels automatiques et de la formation), accès restreint sur le terrain (mitigé par la collecte mobile hors ligne).</w:t>
      </w:r>
    </w:p>
    <w:p>
      <w:pPr>
        <w:keepNext/>
        <w:spacing w:before="200" w:after="80"/>
      </w:pPr>
      <w:r>
        <w:rPr>
          <w:rFonts w:ascii="Arial" w:hAnsi="Arial"/>
          <w:b/>
          <w:color w:val="2F5597"/>
          <w:sz w:val="24"/>
        </w:rPr>
        <w:t>Question 4 : Note d'Information pour le Coordinateur de Cluster</w:t>
      </w:r>
    </w:p>
    <w:tbl>
      <w:tblPr>
        <w:tblW w:type="auto" w:w="0"/>
        <w:jc w:val="center"/>
        <w:tblLayout w:type="fixed"/>
        <w:tblLook w:firstColumn="1" w:firstRow="1" w:lastColumn="0" w:lastRow="0" w:noHBand="0" w:noVBand="1" w:val="04A0"/>
      </w:tblPr>
      <w:tblGrid>
        <w:gridCol w:w="9360"/>
      </w:tblGrid>
      <w:tr>
        <w:tc>
          <w:tcPr>
            <w:tcW w:type="dxa" w:w="9360"/>
            <w:shd w:fill="F2F4F7"/>
            <w:tcMar>
              <w:top w:w="140" w:type="dxa"/>
              <w:bottom w:w="140" w:type="dxa"/>
              <w:left w:w="200" w:type="dxa"/>
              <w:right w:w="200" w:type="dxa"/>
            </w:tcMar>
            <w:tcBorders>
              <w:top w:val="none"/>
              <w:left w:val="single" w:sz="24" w:space="0" w:color="1F4E78"/>
              <w:bottom w:val="none"/>
              <w:right w:val="none"/>
            </w:tcBorders>
          </w:tcPr>
          <w:p>
            <w:pPr>
              <w:spacing w:after="40"/>
            </w:pPr>
            <w:r>
              <w:rPr>
                <w:b/>
                <w:color w:val="1F4E78"/>
              </w:rPr>
              <w:t>Courriel d'Information IMO</w:t>
              <w:br/>
            </w:r>
            <w:r>
              <w:rPr>
                <w:i/>
                <w:sz w:val="20"/>
              </w:rPr>
              <w:t>Objet : Bilan du traitement des données et pistes d'amélioration du Dashboard</w:t>
              <w:br/>
              <w:br/>
              <w:t>Bonjour M. le Coordinateur,</w:t>
              <w:br/>
              <w:br/>
              <w:t>Voici le résumé des ajustements apportés lors du nettoyage de la base de données :</w:t>
              <w:br/>
              <w:t>- Normalisation des formats de dates et harmonisation de la casse des entités géographiques.</w:t>
              <w:br/>
              <w:t>- Correction manuelle des valeurs aberrantes détectées sur les effectifs de bénéficiaires.</w:t>
              <w:br/>
              <w:t>- Imputation et vérification auprès des partenaires des données manquantes sur les indicateurs clés.</w:t>
              <w:br/>
              <w:br/>
              <w:t>Recommandations pour la mise à jour trimestrielle :</w:t>
              <w:br/>
              <w:t>1. Mettre en place un formulaire de collecte standardisé avec contrôle de saisie en amont.</w:t>
              <w:br/>
              <w:t>2. Organiser un atelier de recyclage sur la saisie des matrices de suivi.</w:t>
            </w:r>
          </w:p>
        </w:tc>
      </w:tr>
    </w:tbl>
    <w:p>
      <w:pPr>
        <w:keepNext/>
        <w:spacing w:before="280" w:after="120"/>
        <w:pBdr>
          <w:bottom w:val="single" w:sz="12" w:space="4" w:color="1F4E78"/>
        </w:pBdr>
      </w:pPr>
      <w:r>
        <w:rPr>
          <w:rFonts w:ascii="Arial" w:hAnsi="Arial"/>
          <w:b/>
          <w:color w:val="1F4E78"/>
          <w:sz w:val="28"/>
        </w:rPr>
        <w:t>Source 9 : Test de Sélection Gestionnaire de BDF (Welthungerhilfe - WHH)</w:t>
      </w:r>
    </w:p>
    <w:p>
      <w:r>
        <w:t>Support : BD_benef.xlsx | Focus sur l'automatisation par formules Excel.</w:t>
      </w:r>
    </w:p>
    <w:p>
      <w:pPr>
        <w:keepNext/>
        <w:spacing w:before="200" w:after="80"/>
      </w:pPr>
      <w:r>
        <w:rPr>
          <w:rFonts w:ascii="Arial" w:hAnsi="Arial"/>
          <w:b/>
          <w:color w:val="2F5597"/>
          <w:sz w:val="24"/>
        </w:rPr>
        <w:t>1. Réponses aux Questions Théoriques</w:t>
      </w:r>
    </w:p>
    <w:p>
      <w:pPr>
        <w:pStyle w:val="ListBullet"/>
        <w:spacing w:after="60"/>
        <w:ind w:left="360"/>
      </w:pPr>
      <w:r>
        <w:rPr>
          <w:rFonts w:ascii="Arial" w:hAnsi="Arial"/>
          <w:sz w:val="21"/>
        </w:rPr>
        <w:t>Importance du S&amp;E : S'assurer que le projet progresse conformément au plan de travail, ajuster les activités en temps réel et garantir l'atteinte des résultats impactant positivement les bénéficiaires.</w:t>
      </w:r>
    </w:p>
    <w:p>
      <w:pPr>
        <w:pStyle w:val="ListBullet"/>
        <w:spacing w:after="60"/>
        <w:ind w:left="360"/>
      </w:pPr>
      <w:r>
        <w:rPr>
          <w:rFonts w:ascii="Arial" w:hAnsi="Arial"/>
          <w:sz w:val="21"/>
        </w:rPr>
        <w:t>Indicateur de Produit vs Résultat : Un indicateur de produit (Output) mesure la réalisation directe des activités (ex. nombre de personnes sensibilisées), tandis qu'un indicateur de résultat (Outcome) mesure le changement de comportement ou d'état découlant de l'activité (ex. adoption des pratiques d'hygiène).</w:t>
      </w:r>
    </w:p>
    <w:p>
      <w:pPr>
        <w:pStyle w:val="ListBullet"/>
        <w:spacing w:after="60"/>
        <w:ind w:left="360"/>
      </w:pPr>
      <w:r>
        <w:rPr>
          <w:rFonts w:ascii="Arial" w:hAnsi="Arial"/>
          <w:sz w:val="21"/>
        </w:rPr>
        <w:t>Baseline (Étude de référence) : État des lieux initial avant le démarrage des activités. Capitale pour mesurer objectivement la progression et l'impact du projet.</w:t>
      </w:r>
    </w:p>
    <w:p>
      <w:pPr>
        <w:keepNext/>
        <w:spacing w:before="200" w:after="80"/>
      </w:pPr>
      <w:r>
        <w:rPr>
          <w:rFonts w:ascii="Arial" w:hAnsi="Arial"/>
          <w:b/>
          <w:color w:val="2F5597"/>
          <w:sz w:val="24"/>
        </w:rPr>
        <w:t>2. Formules Excel Requises pour le Tableau de Synthèse ('tableau de synthèse')</w:t>
      </w:r>
    </w:p>
    <w:p>
      <w:pPr>
        <w:pStyle w:val="ListBullet"/>
        <w:spacing w:after="60"/>
        <w:ind w:left="360"/>
      </w:pPr>
      <w:r>
        <w:rPr>
          <w:rFonts w:ascii="Arial" w:hAnsi="Arial"/>
          <w:sz w:val="21"/>
        </w:rPr>
        <w:t>Nombre de bénéficiaires par aire de santé : =NB.SI(BD_benef!A:A, "Aire_1")</w:t>
      </w:r>
    </w:p>
    <w:p>
      <w:pPr>
        <w:pStyle w:val="ListBullet"/>
        <w:spacing w:after="60"/>
        <w:ind w:left="360"/>
      </w:pPr>
      <w:r>
        <w:rPr>
          <w:rFonts w:ascii="Arial" w:hAnsi="Arial"/>
          <w:sz w:val="21"/>
        </w:rPr>
        <w:t>Nombre de chefs de ménage Femmes (0) / Hommes (1) : =NB.SI.ENS(BD_benef!A:A, "Aire_1", BD_benef!C:C, 0)</w:t>
      </w:r>
    </w:p>
    <w:p>
      <w:pPr>
        <w:pStyle w:val="ListBullet"/>
        <w:spacing w:after="60"/>
        <w:ind w:left="360"/>
      </w:pPr>
      <w:r>
        <w:rPr>
          <w:rFonts w:ascii="Arial" w:hAnsi="Arial"/>
          <w:sz w:val="21"/>
        </w:rPr>
        <w:t>Chefs de ménage avec diplôme secondaire : =NB.SI.ENS(BD_benef!A:A, "Aire_1", BD_benef!D:D, "&gt;=Secondaire")</w:t>
      </w:r>
    </w:p>
    <w:p>
      <w:pPr>
        <w:pStyle w:val="ListBullet"/>
        <w:spacing w:after="60"/>
        <w:ind w:left="360"/>
      </w:pPr>
      <w:r>
        <w:rPr>
          <w:rFonts w:ascii="Arial" w:hAnsi="Arial"/>
          <w:sz w:val="21"/>
        </w:rPr>
        <w:t>Ménages de plus de 5 enfants : =NB.SI.ENS(BD_benef!A:A, "Aire_1", BD_benef!E:E, "&gt;5")</w:t>
      </w:r>
    </w:p>
    <w:p>
      <w:pPr>
        <w:pStyle w:val="ListBullet"/>
        <w:spacing w:after="60"/>
        <w:ind w:left="360"/>
      </w:pPr>
      <w:r>
        <w:rPr>
          <w:rFonts w:ascii="Arial" w:hAnsi="Arial"/>
          <w:sz w:val="21"/>
        </w:rPr>
        <w:t>Montant moyen des dépenses (30 jours) : =MOYENNE.SI(BD_benef!A:A, "Aire_1", BD_benef!F:F)</w:t>
      </w:r>
    </w:p>
    <w:p>
      <w:pPr>
        <w:pStyle w:val="ListBullet"/>
        <w:spacing w:after="60"/>
        <w:ind w:left="360"/>
      </w:pPr>
      <w:r>
        <w:rPr>
          <w:rFonts w:ascii="Arial" w:hAnsi="Arial"/>
          <w:sz w:val="21"/>
        </w:rPr>
        <w:t>Consommation &lt; 5 groupes alimentaires : =NB.SI.ENS(BD_benef!A:A, "Aire_1", BD_benef!G:G, "&lt;5")</w:t>
      </w:r>
    </w:p>
    <w:p>
      <w:pPr>
        <w:keepNext/>
        <w:spacing w:before="200" w:after="80"/>
      </w:pPr>
      <w:r>
        <w:rPr>
          <w:rFonts w:ascii="Arial" w:hAnsi="Arial"/>
          <w:b/>
          <w:color w:val="2F5597"/>
          <w:sz w:val="24"/>
        </w:rPr>
        <w:t>3. Formules d'Analyse Globale</w:t>
      </w:r>
    </w:p>
    <w:p>
      <w:pPr>
        <w:pStyle w:val="ListBullet"/>
        <w:spacing w:after="60"/>
        <w:ind w:left="360"/>
      </w:pPr>
      <w:r>
        <w:rPr>
          <w:rFonts w:ascii="Arial" w:hAnsi="Arial"/>
          <w:sz w:val="21"/>
        </w:rPr>
        <w:t>Pourcentage de femmes chefs de ménage : =NB.SI(BD_benef!C:C, 0) / NBVAL(BD_benef!C:C)</w:t>
      </w:r>
    </w:p>
    <w:p>
      <w:pPr>
        <w:pStyle w:val="ListBullet"/>
        <w:spacing w:after="60"/>
        <w:ind w:left="360"/>
      </w:pPr>
      <w:r>
        <w:rPr>
          <w:rFonts w:ascii="Arial" w:hAnsi="Arial"/>
          <w:sz w:val="21"/>
        </w:rPr>
        <w:t>Ciblage distribution de semences (&lt;5 groupes aliment. ET &gt;6 enfants) : =NB.SI.ENS(BD_benef!G:G, "&lt;5", BD_benef!E:E, "&gt;6")</w:t>
      </w:r>
    </w:p>
    <w:p>
      <w:pPr>
        <w:keepNext/>
        <w:spacing w:before="280" w:after="120"/>
        <w:pBdr>
          <w:bottom w:val="single" w:sz="12" w:space="4" w:color="1F4E78"/>
        </w:pBdr>
      </w:pPr>
      <w:r>
        <w:rPr>
          <w:rFonts w:ascii="Arial" w:hAnsi="Arial"/>
          <w:b/>
          <w:color w:val="1F4E78"/>
          <w:sz w:val="28"/>
        </w:rPr>
        <w:t>Source 10 : Test Technique GIS/Web Senior Assistant</w:t>
      </w:r>
    </w:p>
    <w:p>
      <w:r>
        <w:t>Support : sample_Dataset.xlsx &amp; Sample_Dataset_site_IDP</w:t>
      </w:r>
    </w:p>
    <w:p>
      <w:pPr>
        <w:keepNext/>
        <w:spacing w:before="200" w:after="80"/>
      </w:pPr>
      <w:r>
        <w:rPr>
          <w:rFonts w:ascii="Arial" w:hAnsi="Arial"/>
          <w:b/>
          <w:color w:val="2F5597"/>
          <w:sz w:val="24"/>
        </w:rPr>
        <w:t>1. Cartographie des Sites PDI (Spontanés vs Planifiés)</w:t>
      </w:r>
    </w:p>
    <w:p>
      <w:pPr>
        <w:pStyle w:val="ListBullet"/>
        <w:spacing w:after="60"/>
        <w:ind w:left="360"/>
      </w:pPr>
      <w:r>
        <w:rPr>
          <w:rFonts w:ascii="Arial" w:hAnsi="Arial"/>
          <w:sz w:val="21"/>
        </w:rPr>
        <w:t>Symbologie différenciée : Classification par attribut sur le statut du site (Planned vs Spontaneous).</w:t>
      </w:r>
    </w:p>
    <w:p>
      <w:pPr>
        <w:pStyle w:val="ListBullet"/>
        <w:spacing w:after="60"/>
        <w:ind w:left="360"/>
      </w:pPr>
      <w:r>
        <w:rPr>
          <w:rFonts w:ascii="Arial" w:hAnsi="Arial"/>
          <w:sz w:val="21"/>
        </w:rPr>
        <w:t>Quantification régionale : Agrégation et représentation proportionnelle des cercles/zones en fonction du volume total de déplacés (IDP Count).</w:t>
      </w:r>
    </w:p>
    <w:p>
      <w:pPr>
        <w:pStyle w:val="ListBullet"/>
        <w:spacing w:after="60"/>
        <w:ind w:left="360"/>
      </w:pPr>
      <w:r>
        <w:rPr>
          <w:rFonts w:ascii="Arial" w:hAnsi="Arial"/>
          <w:sz w:val="21"/>
        </w:rPr>
        <w:t>Intégration infographique : Ajout d'un graphique à barres/camembert représentant la désagrégation par tranche d'âge des PDI.</w:t>
      </w:r>
    </w:p>
    <w:p>
      <w:pPr>
        <w:keepNext/>
        <w:spacing w:before="200" w:after="80"/>
      </w:pPr>
      <w:r>
        <w:rPr>
          <w:rFonts w:ascii="Arial" w:hAnsi="Arial"/>
          <w:b/>
          <w:color w:val="2F5597"/>
          <w:sz w:val="24"/>
        </w:rPr>
        <w:t>2. Analyse Spatiale de Proximité (Distance aux Sites IDP)</w:t>
      </w:r>
    </w:p>
    <w:p>
      <w:pPr>
        <w:pStyle w:val="ListBullet"/>
        <w:spacing w:after="60"/>
        <w:ind w:left="360"/>
      </w:pPr>
      <w:r>
        <w:rPr>
          <w:rFonts w:ascii="Arial" w:hAnsi="Arial"/>
          <w:sz w:val="21"/>
        </w:rPr>
        <w:t>Problème : Calculer la distance des 3 sites PDI les plus proches d'un site de référence.</w:t>
      </w:r>
    </w:p>
    <w:p>
      <w:pPr>
        <w:pStyle w:val="ListBullet"/>
        <w:spacing w:after="60"/>
        <w:ind w:left="360"/>
      </w:pPr>
      <w:r>
        <w:rPr>
          <w:rFonts w:ascii="Arial" w:hAnsi="Arial"/>
          <w:sz w:val="21"/>
        </w:rPr>
        <w:t>Méthodologie &amp; Fonctions : Utilisation de l'outil 'Distance Matrix' ou 'NNJoin' (Nearest Neighbor Join) sous QGIS/ArcGIS. Calcul basé sur la formule de distance euclidienne en système de coordonnées projeté (UTM) ou la formule de Haversine pour les coordonnées géographiques (WGS84).</w:t>
      </w:r>
    </w:p>
    <w:p>
      <w:pPr>
        <w:keepNext/>
        <w:spacing w:before="200" w:after="80"/>
      </w:pPr>
      <w:r>
        <w:rPr>
          <w:rFonts w:ascii="Arial" w:hAnsi="Arial"/>
          <w:b/>
          <w:color w:val="2F5597"/>
          <w:sz w:val="24"/>
        </w:rPr>
        <w:t>3. Développement Web Dashboard (API Google Maps)</w:t>
      </w:r>
    </w:p>
    <w:p>
      <w:pPr>
        <w:pStyle w:val="ListBullet"/>
        <w:spacing w:after="60"/>
        <w:ind w:left="360"/>
      </w:pPr>
      <w:r>
        <w:rPr>
          <w:rFonts w:ascii="Arial" w:hAnsi="Arial"/>
          <w:sz w:val="21"/>
        </w:rPr>
        <w:t>Fonctionnalités : Intégration de l'API Google Maps JavaScript pour afficher dynamiquement 10 sites IDP majeurs avec marqueurs personnalisés.</w:t>
      </w:r>
    </w:p>
    <w:p>
      <w:pPr>
        <w:pStyle w:val="ListBullet"/>
        <w:spacing w:after="60"/>
        <w:ind w:left="360"/>
      </w:pPr>
      <w:r>
        <w:rPr>
          <w:rFonts w:ascii="Arial" w:hAnsi="Arial"/>
          <w:sz w:val="21"/>
        </w:rPr>
        <w:t>Composants : Tableau de synthèse HTML/JS connecté affichant les données désagrégées des IDPs avec légende explicative interactive.</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80"/>
    </w:pPr>
    <w:rPr>
      <w:rFonts w:ascii="Arial" w:hAnsi="Arial"/>
      <w:color w:val="262626"/>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