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</w:pPr>
      <w:r>
        <w:rPr>
          <w:rFonts w:ascii="Calibri" w:hAnsi="Calibri"/>
          <w:b/>
          <w:i w:val="0"/>
          <w:color w:val="1B365D"/>
          <w:sz w:val="48"/>
        </w:rPr>
        <w:t>MEAL &amp; Project Cycle Management (PCM)</w:t>
      </w:r>
    </w:p>
    <w:p>
      <w:pPr>
        <w:spacing w:before="0" w:after="360"/>
      </w:pPr>
      <w:r>
        <w:rPr>
          <w:rFonts w:ascii="Calibri" w:hAnsi="Calibri"/>
          <w:b w:val="0"/>
          <w:i/>
          <w:color w:val="5A6B7C"/>
          <w:sz w:val="28"/>
        </w:rPr>
        <w:t>Consolidated Master Technical Guide &amp; Answer Key</w:t>
      </w:r>
    </w:p>
    <w:p>
      <w:pPr>
        <w:spacing w:after="360"/>
        <w:pBdr>
          <w:bottom w:val="single" w:sz="12" w:space="1" w:color="1B365D"/>
        </w:pBdr>
      </w:pPr>
    </w:p>
    <w:p>
      <w:pPr>
        <w:keepNext/>
        <w:spacing w:before="360" w:after="160"/>
        <w:pBdr>
          <w:bottom w:val="single" w:sz="6" w:space="1" w:color="4A90E2"/>
        </w:pBdr>
      </w:pPr>
      <w:r>
        <w:rPr>
          <w:rFonts w:ascii="Calibri" w:hAnsi="Calibri"/>
          <w:b/>
          <w:i w:val="0"/>
          <w:color w:val="1B365D"/>
          <w:sz w:val="32"/>
        </w:rPr>
        <w:t>Section 1: Project Cycle Management &amp; Logical Framework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1. Phases of the Project Cycle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Programming (Programmation): </w:t>
      </w:r>
      <w:r>
        <w:rPr>
          <w:rFonts w:ascii="Calibri" w:hAnsi="Calibri"/>
          <w:b w:val="0"/>
          <w:i w:val="0"/>
          <w:sz w:val="22"/>
        </w:rPr>
        <w:t>Defines general orientation, priorities, and principles based on problem analysis and local capacities. Results in a Country Strategy Paper.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Identification (Identification): </w:t>
      </w:r>
      <w:r>
        <w:rPr>
          <w:rFonts w:ascii="Calibri" w:hAnsi="Calibri"/>
          <w:b w:val="0"/>
          <w:i w:val="0"/>
          <w:sz w:val="22"/>
        </w:rPr>
        <w:t>Analyzes stakeholder needs and interests; identifies and examines project ideas through sector/pre-feasibility studies.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Formulation / Appraisal (Instruction / Conception): </w:t>
      </w:r>
      <w:r>
        <w:rPr>
          <w:rFonts w:ascii="Calibri" w:hAnsi="Calibri"/>
          <w:b w:val="0"/>
          <w:i w:val="0"/>
          <w:sz w:val="22"/>
        </w:rPr>
        <w:t>Detailed examination of the project idea, detailed work plans, Logical Frameworks (with indicators, targets, and timelines), and budget allocation. Results in a funding proposal.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Financing (Financement): </w:t>
      </w:r>
      <w:r>
        <w:rPr>
          <w:rFonts w:ascii="Calibri" w:hAnsi="Calibri"/>
          <w:b w:val="0"/>
          <w:i w:val="0"/>
          <w:sz w:val="22"/>
        </w:rPr>
        <w:t>Project proposal review by internal/external financing committees, leading to a formal grant/financing agreement signature.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Implementation (Mise en œuvre): </w:t>
      </w:r>
      <w:r>
        <w:rPr>
          <w:rFonts w:ascii="Calibri" w:hAnsi="Calibri"/>
          <w:b w:val="0"/>
          <w:i w:val="0"/>
          <w:sz w:val="22"/>
        </w:rPr>
        <w:t>Execution of planned activities using allocated resources to achieve outputs and specific objectives while maintaining continuous monitoring.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Evaluation (Évaluation): </w:t>
      </w:r>
      <w:r>
        <w:rPr>
          <w:rFonts w:ascii="Calibri" w:hAnsi="Calibri"/>
          <w:b w:val="0"/>
          <w:i w:val="0"/>
          <w:sz w:val="22"/>
        </w:rPr>
        <w:t>Systematic and objective assessment of an ongoing or completed project regarding its relevance, efficiency, effectiveness, impact, and sustainability.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2. Logical Framework (Cadre Logique)</w:t>
      </w:r>
    </w:p>
    <w:p>
      <w:pPr>
        <w:spacing w:after="120"/>
      </w:pPr>
      <w:r>
        <w:rPr>
          <w:rFonts w:ascii="Calibri" w:hAnsi="Calibri"/>
          <w:b/>
          <w:i w:val="0"/>
          <w:sz w:val="22"/>
        </w:rPr>
        <w:t xml:space="preserve">Definition &amp; Purpose: </w:t>
      </w:r>
      <w:r>
        <w:rPr>
          <w:rFonts w:ascii="Calibri" w:hAnsi="Calibri"/>
          <w:b w:val="0"/>
          <w:i w:val="0"/>
          <w:sz w:val="22"/>
        </w:rPr>
        <w:t>A matrix summarizing the operational design of a project, detailing the cause-and-effect relationship between activities, outputs, outcomes, and impact, along with Objectively Verifiable Indicators (OVIs), Means of Verification (MoVs), and assumptions.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Component</w:t>
            </w:r>
          </w:p>
        </w:tc>
        <w:tc>
          <w:tcPr>
            <w:tcW w:type="dxa" w:w="468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Definition / Scope</w:t>
            </w:r>
          </w:p>
        </w:tc>
      </w:tr>
      <w:tr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Goal / Overall Objective (Objectif Global)</w:t>
            </w:r>
          </w:p>
        </w:tc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The broader long-term developmental impact to which the project contributes.</w:t>
            </w:r>
          </w:p>
        </w:tc>
      </w:tr>
      <w:tr>
        <w:tc>
          <w:tcPr>
            <w:tcW w:type="dxa" w:w="468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Specific Objectives / Outcomes (Objectifs Spécifiques)</w:t>
            </w:r>
          </w:p>
        </w:tc>
        <w:tc>
          <w:tcPr>
            <w:tcW w:type="dxa" w:w="468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Direct benefits and institutional/behavioral changes achieved by project end.</w:t>
            </w:r>
          </w:p>
        </w:tc>
      </w:tr>
      <w:tr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Outputs / Expected Results (Résultats Attendus)</w:t>
            </w:r>
          </w:p>
        </w:tc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Concrete deliverables and immediate products resulting from project activities.</w:t>
            </w:r>
          </w:p>
        </w:tc>
      </w:tr>
      <w:tr>
        <w:tc>
          <w:tcPr>
            <w:tcW w:type="dxa" w:w="468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Activities (Activités)</w:t>
            </w:r>
          </w:p>
        </w:tc>
        <w:tc>
          <w:tcPr>
            <w:tcW w:type="dxa" w:w="468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Specific tasks and processes executed to produce outputs.</w:t>
            </w:r>
          </w:p>
        </w:tc>
      </w:tr>
      <w:tr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Objectively Verifiable Indicators (OVIs / IOV)</w:t>
            </w:r>
          </w:p>
        </w:tc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Quantitative and qualitative measures used to verify progress at each level.</w:t>
            </w:r>
          </w:p>
        </w:tc>
      </w:tr>
      <w:tr>
        <w:tc>
          <w:tcPr>
            <w:tcW w:type="dxa" w:w="468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Means of Verification (Moyens de Vérification)</w:t>
            </w:r>
          </w:p>
        </w:tc>
        <w:tc>
          <w:tcPr>
            <w:tcW w:type="dxa" w:w="468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Specific data sources and methods used to obtain indicator measurements.</w:t>
            </w:r>
          </w:p>
        </w:tc>
      </w:tr>
      <w:tr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Assumptions (Hypothèses)</w:t>
            </w:r>
          </w:p>
        </w:tc>
        <w:tc>
          <w:tcPr>
            <w:tcW w:type="dxa" w:w="468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External factors outside direct project control required for success.</w:t>
            </w:r>
          </w:p>
        </w:tc>
      </w:tr>
    </w:tbl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3. Risk vs. Assumption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Assumption (Hypothèse): </w:t>
      </w:r>
      <w:r>
        <w:rPr>
          <w:rFonts w:ascii="Calibri" w:hAnsi="Calibri"/>
          <w:b w:val="0"/>
          <w:i w:val="0"/>
          <w:sz w:val="22"/>
        </w:rPr>
        <w:t xml:space="preserve">A positive statement regarding external conditions outside the project manager's direct control needed for success. </w:t>
      </w:r>
      <w:r>
        <w:rPr>
          <w:rFonts w:ascii="Calibri" w:hAnsi="Calibri"/>
          <w:b w:val="0"/>
          <w:i/>
          <w:sz w:val="22"/>
        </w:rPr>
        <w:t xml:space="preserve">Example: </w:t>
      </w:r>
      <w:r>
        <w:rPr>
          <w:rFonts w:ascii="Calibri" w:hAnsi="Calibri"/>
          <w:b w:val="0"/>
          <w:i/>
          <w:sz w:val="22"/>
        </w:rPr>
        <w:t>"The judicial procedural reform is successfully enacted by parliament."</w:t>
      </w:r>
    </w:p>
    <w:p>
      <w:pPr>
        <w:pStyle w:val="ListBullet"/>
        <w:spacing w:after="120"/>
      </w:pPr>
      <w:r>
        <w:rPr>
          <w:rFonts w:ascii="Calibri" w:hAnsi="Calibri"/>
          <w:b/>
          <w:i w:val="0"/>
          <w:sz w:val="22"/>
        </w:rPr>
        <w:t xml:space="preserve">Risk (Risque): </w:t>
      </w:r>
      <w:r>
        <w:rPr>
          <w:rFonts w:ascii="Calibri" w:hAnsi="Calibri"/>
          <w:b w:val="0"/>
          <w:i w:val="0"/>
          <w:sz w:val="22"/>
        </w:rPr>
        <w:t xml:space="preserve">An uncertain event or negative condition that could prevent project success. </w:t>
      </w:r>
      <w:r>
        <w:rPr>
          <w:rFonts w:ascii="Calibri" w:hAnsi="Calibri"/>
          <w:b w:val="0"/>
          <w:i/>
          <w:sz w:val="22"/>
        </w:rPr>
        <w:t xml:space="preserve">Example: </w:t>
      </w:r>
      <w:r>
        <w:rPr>
          <w:rFonts w:ascii="Calibri" w:hAnsi="Calibri"/>
          <w:b w:val="0"/>
          <w:i/>
          <w:sz w:val="22"/>
        </w:rPr>
        <w:t>"Judicial procedural reform fails due to political instability."</w:t>
      </w:r>
    </w:p>
    <w:p>
      <w:pPr>
        <w:keepNext/>
        <w:spacing w:before="360" w:after="160"/>
        <w:pBdr>
          <w:bottom w:val="single" w:sz="6" w:space="1" w:color="4A90E2"/>
        </w:pBdr>
      </w:pPr>
      <w:r>
        <w:rPr>
          <w:rFonts w:ascii="Calibri" w:hAnsi="Calibri"/>
          <w:b/>
          <w:i w:val="0"/>
          <w:color w:val="1B365D"/>
          <w:sz w:val="32"/>
        </w:rPr>
        <w:t>Section 2: Monitoring, Evaluation, Accountability, and Learning (MEAL)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1. Monitoring vs. Evaluation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120"/>
        <w:gridCol w:w="3120"/>
        <w:gridCol w:w="3120"/>
      </w:tblGrid>
      <w:tr>
        <w:tc>
          <w:tcPr>
            <w:tcW w:type="dxa" w:w="312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Criteria</w:t>
            </w:r>
          </w:p>
        </w:tc>
        <w:tc>
          <w:tcPr>
            <w:tcW w:type="dxa" w:w="312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Monitoring (Suivi)</w:t>
            </w:r>
          </w:p>
        </w:tc>
        <w:tc>
          <w:tcPr>
            <w:tcW w:type="dxa" w:w="312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Evaluation (Évaluation)</w:t>
            </w:r>
          </w:p>
        </w:tc>
      </w:tr>
      <w:tr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Purpose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Track operational progress, resource use, and process efficiency; trigger real-time adjustments.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Assess causality, achievement of objectives, overall relevance, impact, and sustainability.</w:t>
            </w:r>
          </w:p>
        </w:tc>
      </w:tr>
      <w:tr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Focus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Inputs, Activities, and Outputs (Process &amp; short-term tracking).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Outcomes, Impact, and Strategic Causal Chains.</w:t>
            </w:r>
          </w:p>
        </w:tc>
      </w:tr>
      <w:tr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Timing / Frequency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Continuous / Periodic (Daily, Monthly, Quarterly).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Episodic (Ex-ante, Mid-term, Endline, Ex-post).</w:t>
            </w:r>
          </w:p>
        </w:tc>
      </w:tr>
      <w:tr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Primary Data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Internal progress reports, attendance lists, routine registries.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Baseline/Endline surveys, external evaluations, case studies.</w:t>
            </w:r>
          </w:p>
        </w:tc>
      </w:tr>
    </w:tbl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2. Typology of Evaluations (Time-based)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Ex-Ante Evaluation: </w:t>
      </w:r>
      <w:r>
        <w:rPr>
          <w:rFonts w:ascii="Calibri" w:hAnsi="Calibri"/>
          <w:b w:val="0"/>
          <w:i w:val="0"/>
          <w:sz w:val="22"/>
        </w:rPr>
        <w:t>Done prior to implementation during design to test feasibility and target relevance.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Mid-Term Evaluation (Évaluation à mi-parcours): </w:t>
      </w:r>
      <w:r>
        <w:rPr>
          <w:rFonts w:ascii="Calibri" w:hAnsi="Calibri"/>
          <w:b w:val="0"/>
          <w:i w:val="0"/>
          <w:sz w:val="22"/>
        </w:rPr>
        <w:t>Conducted mid-way to assess progress and realign strategies if necessary.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Endline / Final Evaluation: </w:t>
      </w:r>
      <w:r>
        <w:rPr>
          <w:rFonts w:ascii="Calibri" w:hAnsi="Calibri"/>
          <w:b w:val="0"/>
          <w:i w:val="0"/>
          <w:sz w:val="22"/>
        </w:rPr>
        <w:t>Conducted immediately upon completion to assess short-term outcome achievements.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Ex-Post Evaluation: </w:t>
      </w:r>
      <w:r>
        <w:rPr>
          <w:rFonts w:ascii="Calibri" w:hAnsi="Calibri"/>
          <w:b w:val="0"/>
          <w:i w:val="0"/>
          <w:sz w:val="22"/>
        </w:rPr>
        <w:t>Conducted long after project closure to assess long-term sustainability and impact.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In-Itinere Evaluation: </w:t>
      </w:r>
      <w:r>
        <w:rPr>
          <w:rFonts w:ascii="Calibri" w:hAnsi="Calibri"/>
          <w:b w:val="0"/>
          <w:i w:val="0"/>
          <w:sz w:val="22"/>
        </w:rPr>
        <w:t>Continuous evaluation throughout policy/program implementation.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3. Core Evaluation Criteria (OECD/DAC Standards)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Relevance (Pertinence): </w:t>
      </w:r>
      <w:r>
        <w:rPr>
          <w:rFonts w:ascii="Calibri" w:hAnsi="Calibri"/>
          <w:b w:val="0"/>
          <w:i w:val="0"/>
          <w:sz w:val="22"/>
        </w:rPr>
        <w:t>Alignment between project objectives, target population needs, and context realities.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Effectiveness (Efficacité): </w:t>
      </w:r>
      <w:r>
        <w:rPr>
          <w:rFonts w:ascii="Calibri" w:hAnsi="Calibri"/>
          <w:b w:val="0"/>
          <w:i w:val="0"/>
          <w:sz w:val="22"/>
        </w:rPr>
        <w:t>The degree to which objectives and expected outcomes were achieved.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Efficiency (Efficience): </w:t>
      </w:r>
      <w:r>
        <w:rPr>
          <w:rFonts w:ascii="Calibri" w:hAnsi="Calibri"/>
          <w:b w:val="0"/>
          <w:i w:val="0"/>
          <w:sz w:val="22"/>
        </w:rPr>
        <w:t>Optimal conversion of inputs (funding, time, HR) into outputs at minimal cost.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Sustainability (Pérennité / Durabilité): </w:t>
      </w:r>
      <w:r>
        <w:rPr>
          <w:rFonts w:ascii="Calibri" w:hAnsi="Calibri"/>
          <w:b w:val="0"/>
          <w:i w:val="0"/>
          <w:sz w:val="22"/>
        </w:rPr>
        <w:t>Continuation of benefits after donor funding ends.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Utility (Utilité): </w:t>
      </w:r>
      <w:r>
        <w:rPr>
          <w:rFonts w:ascii="Calibri" w:hAnsi="Calibri"/>
          <w:b w:val="0"/>
          <w:i w:val="0"/>
          <w:sz w:val="22"/>
        </w:rPr>
        <w:t>Overall societal value of unintended positive/negative effects compared to initial needs.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4. Quality Benchmark &amp; Key MEAL Tools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Quality Benchmark (QB): </w:t>
      </w:r>
      <w:r>
        <w:rPr>
          <w:rFonts w:ascii="Calibri" w:hAnsi="Calibri"/>
          <w:b w:val="0"/>
          <w:i w:val="0"/>
          <w:sz w:val="22"/>
        </w:rPr>
        <w:t>Essential MEAL standards used to track and verify quality against predefined technical criteria at the output/activity level.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Detailed Implementation Plan (DIP): </w:t>
      </w:r>
      <w:r>
        <w:rPr>
          <w:rFonts w:ascii="Calibri" w:hAnsi="Calibri"/>
          <w:b w:val="0"/>
          <w:i w:val="0"/>
          <w:sz w:val="22"/>
        </w:rPr>
        <w:t>Operational tool breaking down project activities monthly.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Project MEAL Tracker Report (PMTR / IPTT): </w:t>
      </w:r>
      <w:r>
        <w:rPr>
          <w:rFonts w:ascii="Calibri" w:hAnsi="Calibri"/>
          <w:b w:val="0"/>
          <w:i w:val="0"/>
          <w:sz w:val="22"/>
        </w:rPr>
        <w:t>Indicator Tracking Table tracking actual vs. targeted progress monthly/quarterly.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Do No Harm / Risk Assessment Matrix: </w:t>
      </w:r>
      <w:r>
        <w:rPr>
          <w:rFonts w:ascii="Calibri" w:hAnsi="Calibri"/>
          <w:b w:val="0"/>
          <w:i w:val="0"/>
          <w:sz w:val="22"/>
        </w:rPr>
        <w:t>Contextual risk tracker updated at least quarterly to ensure interventions do not trigger unintended conflict or harm.</w:t>
      </w:r>
    </w:p>
    <w:p>
      <w:pPr>
        <w:keepNext/>
        <w:spacing w:before="360" w:after="160"/>
        <w:pBdr>
          <w:bottom w:val="single" w:sz="6" w:space="1" w:color="4A90E2"/>
        </w:pBdr>
      </w:pPr>
      <w:r>
        <w:rPr>
          <w:rFonts w:ascii="Calibri" w:hAnsi="Calibri"/>
          <w:b/>
          <w:i w:val="0"/>
          <w:color w:val="1B365D"/>
          <w:sz w:val="32"/>
        </w:rPr>
        <w:t>Section 3: Data Collection, Indicators, &amp; Quality Control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1. Indicators &amp; Typology</w:t>
      </w:r>
    </w:p>
    <w:p>
      <w:pPr>
        <w:spacing w:after="60"/>
      </w:pPr>
      <w:r>
        <w:rPr>
          <w:rFonts w:ascii="Calibri" w:hAnsi="Calibri"/>
          <w:b/>
          <w:i w:val="0"/>
          <w:sz w:val="22"/>
        </w:rPr>
        <w:t xml:space="preserve">Definition: </w:t>
      </w:r>
      <w:r>
        <w:rPr>
          <w:rFonts w:ascii="Calibri" w:hAnsi="Calibri"/>
          <w:b w:val="0"/>
          <w:i w:val="0"/>
          <w:sz w:val="22"/>
        </w:rPr>
        <w:t>A quantitative or qualitative variable providing a reliable basis to measure change over time.</w:t>
      </w:r>
    </w:p>
    <w:p>
      <w:pPr>
        <w:spacing w:after="60"/>
      </w:pPr>
      <w:r>
        <w:rPr>
          <w:rFonts w:ascii="Calibri" w:hAnsi="Calibri"/>
          <w:b/>
          <w:i w:val="0"/>
          <w:sz w:val="22"/>
        </w:rPr>
        <w:t xml:space="preserve">SMART Criteria: </w:t>
      </w:r>
      <w:r>
        <w:rPr>
          <w:rFonts w:ascii="Calibri" w:hAnsi="Calibri"/>
          <w:b w:val="0"/>
          <w:i w:val="0"/>
          <w:sz w:val="22"/>
        </w:rPr>
        <w:t>Specific, Measurable, Attainable/Achievable, Realistic/Relevant, Time-bound/Trackable.</w:t>
      </w:r>
    </w:p>
    <w:p>
      <w:pPr>
        <w:spacing w:after="120"/>
      </w:pPr>
      <w:r>
        <w:rPr>
          <w:rFonts w:ascii="Calibri" w:hAnsi="Calibri"/>
          <w:b/>
          <w:i w:val="0"/>
          <w:sz w:val="22"/>
        </w:rPr>
        <w:t xml:space="preserve">Key Dimensions: </w:t>
      </w:r>
      <w:r>
        <w:rPr>
          <w:rFonts w:ascii="Calibri" w:hAnsi="Calibri"/>
          <w:b w:val="0"/>
          <w:i w:val="0"/>
          <w:sz w:val="22"/>
        </w:rPr>
        <w:t>Quantity (How much?), Quality (How well?), Target Group (Who?), Timeframe (When?), Location (Where?).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Process Indicator (Indicateur de processus): </w:t>
      </w:r>
      <w:r>
        <w:rPr>
          <w:rFonts w:ascii="Calibri" w:hAnsi="Calibri"/>
          <w:b w:val="0"/>
          <w:i w:val="0"/>
          <w:sz w:val="22"/>
        </w:rPr>
        <w:t>Tracks activity implementation speed and input utilization (e.g., fuel consumption rate per km).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Output / Realization Indicator (Indicateur de réalisation): </w:t>
      </w:r>
      <w:r>
        <w:rPr>
          <w:rFonts w:ascii="Calibri" w:hAnsi="Calibri"/>
          <w:b w:val="0"/>
          <w:i w:val="0"/>
          <w:sz w:val="22"/>
        </w:rPr>
        <w:t>Direct physical outputs produced (e.g., number of people trained, number of kits distributed).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Outcome / Result Indicator (Indicateur d'effet): </w:t>
      </w:r>
      <w:r>
        <w:rPr>
          <w:rFonts w:ascii="Calibri" w:hAnsi="Calibri"/>
          <w:b w:val="0"/>
          <w:i w:val="0"/>
          <w:sz w:val="22"/>
        </w:rPr>
        <w:t>Intermediate behavioral or institutional changes (e.g., % of women washing hands with soap).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Impact Indicator (Indicateur d'impact): </w:t>
      </w:r>
      <w:r>
        <w:rPr>
          <w:rFonts w:ascii="Calibri" w:hAnsi="Calibri"/>
          <w:b w:val="0"/>
          <w:i w:val="0"/>
          <w:sz w:val="22"/>
        </w:rPr>
        <w:t>Long-term goal achievement (e.g., reduction in child malnutrition rate).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2. Quantitative vs. Qualitative Data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120"/>
        <w:gridCol w:w="3120"/>
        <w:gridCol w:w="3120"/>
      </w:tblGrid>
      <w:tr>
        <w:tc>
          <w:tcPr>
            <w:tcW w:type="dxa" w:w="312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Attribute</w:t>
            </w:r>
          </w:p>
        </w:tc>
        <w:tc>
          <w:tcPr>
            <w:tcW w:type="dxa" w:w="312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Quantitative Data</w:t>
            </w:r>
          </w:p>
        </w:tc>
        <w:tc>
          <w:tcPr>
            <w:tcW w:type="dxa" w:w="312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Qualitative Data</w:t>
            </w:r>
          </w:p>
        </w:tc>
      </w:tr>
      <w:tr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Nature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Numerical values, counts, ratios, percentages.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Textual descriptions, perceptions, beliefs, narratives.</w:t>
            </w:r>
          </w:p>
        </w:tc>
      </w:tr>
      <w:tr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Focus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How many? How much? What proportion?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Why? How? What are the underlying reasons?</w:t>
            </w:r>
          </w:p>
        </w:tc>
      </w:tr>
      <w:tr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Analysis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Statistical analysis, pivot tables, cross-tabulations.</w:t>
            </w:r>
          </w:p>
        </w:tc>
        <w:tc>
          <w:tcPr>
            <w:tcW w:type="dxa" w:w="312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Thematic coding, narrative summaries, content analysis.</w:t>
            </w:r>
          </w:p>
        </w:tc>
      </w:tr>
      <w:tr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Examples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1. 40% of households walk &gt;2h for water.</w:t>
              <w:br/>
              <w:t>2. 64 communities connected to early warning systems.</w:t>
              <w:br/>
              <w:t>3. 150 health workers trained.</w:t>
            </w:r>
          </w:p>
        </w:tc>
        <w:tc>
          <w:tcPr>
            <w:tcW w:type="dxa" w:w="312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1. Focus group discussions revealing fear of night travel to water points.</w:t>
              <w:br/>
              <w:t>2. Community perceptions on warning system siren clarity.</w:t>
              <w:br/>
              <w:t>3. Stories of change from women committee members.</w:t>
            </w:r>
          </w:p>
        </w:tc>
      </w:tr>
    </w:tbl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3. Data Quality Assessment (DQA) Criteria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Validity (Validité): </w:t>
      </w:r>
      <w:r>
        <w:rPr>
          <w:rFonts w:ascii="Calibri" w:hAnsi="Calibri"/>
          <w:b w:val="0"/>
          <w:i w:val="0"/>
          <w:sz w:val="22"/>
        </w:rPr>
        <w:t>Data clearly represents the intended result and is free from bias.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Reliability / Consistency (Fiabilité / Constance): </w:t>
      </w:r>
      <w:r>
        <w:rPr>
          <w:rFonts w:ascii="Calibri" w:hAnsi="Calibri"/>
          <w:b w:val="0"/>
          <w:i w:val="0"/>
          <w:sz w:val="22"/>
        </w:rPr>
        <w:t>Collection methods produce consistent results over repeated measurements.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Precision (Précision): </w:t>
      </w:r>
      <w:r>
        <w:rPr>
          <w:rFonts w:ascii="Calibri" w:hAnsi="Calibri"/>
          <w:b w:val="0"/>
          <w:i w:val="0"/>
          <w:sz w:val="22"/>
        </w:rPr>
        <w:t>Sufficient detail and minimal margin of error.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Integrity (Intégrité): </w:t>
      </w:r>
      <w:r>
        <w:rPr>
          <w:rFonts w:ascii="Calibri" w:hAnsi="Calibri"/>
          <w:b w:val="0"/>
          <w:i w:val="0"/>
          <w:sz w:val="22"/>
        </w:rPr>
        <w:t>Data is secure from manipulation, fraud, or unauthorized modification.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Timeliness (Périodicité / Actualité): </w:t>
      </w:r>
      <w:r>
        <w:rPr>
          <w:rFonts w:ascii="Calibri" w:hAnsi="Calibri"/>
          <w:b w:val="0"/>
          <w:i w:val="0"/>
          <w:sz w:val="22"/>
        </w:rPr>
        <w:t>Data is updated and available when needed for decision-making.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4. Data Collection Technologies (ODK, KoboCollect)</w:t>
      </w:r>
    </w:p>
    <w:p>
      <w:pPr>
        <w:spacing w:after="60"/>
      </w:pPr>
      <w:r>
        <w:rPr>
          <w:rFonts w:ascii="Calibri" w:hAnsi="Calibri"/>
          <w:b/>
          <w:i w:val="0"/>
          <w:color w:val="1B365D"/>
          <w:sz w:val="22"/>
        </w:rPr>
        <w:t>Key Advantages: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Reduced printing/paper costs and immediate digital encoding.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Elimination of manual data entry errors.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Multi-media collection capabilities (GPS points, photos, audio recordings).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Real-time field oversight and data quality verification.</w:t>
      </w:r>
    </w:p>
    <w:p>
      <w:pPr>
        <w:spacing w:before="80" w:after="60"/>
      </w:pPr>
      <w:r>
        <w:rPr>
          <w:rFonts w:ascii="Calibri" w:hAnsi="Calibri"/>
          <w:b/>
          <w:i w:val="0"/>
          <w:color w:val="1B365D"/>
          <w:sz w:val="22"/>
        </w:rPr>
        <w:t>Key Limitations / Vulnerabilities: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Dependence on battery power, charging infrastructure, and network access.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Device theft risks and physical vulnerability in harsh weather/field conditions.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Respondent intimidation or mistrust regarding digital devices.</w:t>
      </w:r>
    </w:p>
    <w:p>
      <w:pPr>
        <w:pStyle w:val="ListBullet"/>
        <w:spacing w:after="40"/>
      </w:pPr>
      <w:r>
        <w:rPr>
          <w:rFonts w:ascii="Calibri" w:hAnsi="Calibri"/>
          <w:b w:val="0"/>
          <w:i w:val="0"/>
          <w:sz w:val="22"/>
        </w:rPr>
        <w:t>Server outages halting data flow.</w:t>
      </w:r>
    </w:p>
    <w:p>
      <w:pPr>
        <w:keepNext/>
        <w:spacing w:before="360" w:after="160"/>
        <w:pBdr>
          <w:bottom w:val="single" w:sz="6" w:space="1" w:color="4A90E2"/>
        </w:pBdr>
      </w:pPr>
      <w:r>
        <w:rPr>
          <w:rFonts w:ascii="Calibri" w:hAnsi="Calibri"/>
          <w:b/>
          <w:i w:val="0"/>
          <w:color w:val="1B365D"/>
          <w:sz w:val="32"/>
        </w:rPr>
        <w:t>Section 4: Accountability, Feedback Mechanisms, &amp; Do No Harm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1. Humanitarian Accountability Partnership (HAP) Standards</w:t>
      </w:r>
    </w:p>
    <w:p>
      <w:pPr>
        <w:spacing w:after="80"/>
      </w:pPr>
      <w:r>
        <w:rPr>
          <w:rFonts w:ascii="Calibri" w:hAnsi="Calibri"/>
          <w:b w:val="0"/>
          <w:i w:val="0"/>
          <w:sz w:val="22"/>
        </w:rPr>
        <w:t>HAP principles require organizations to uphold accountability to crisis-affected populations through: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Information Sharing: </w:t>
      </w:r>
      <w:r>
        <w:rPr>
          <w:rFonts w:ascii="Calibri" w:hAnsi="Calibri"/>
          <w:b w:val="0"/>
          <w:i w:val="0"/>
          <w:sz w:val="22"/>
        </w:rPr>
        <w:t>Openly sharing mission, budget, target selection criteria, and rights.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Participation: </w:t>
      </w:r>
      <w:r>
        <w:rPr>
          <w:rFonts w:ascii="Calibri" w:hAnsi="Calibri"/>
          <w:b w:val="0"/>
          <w:i w:val="0"/>
          <w:sz w:val="22"/>
        </w:rPr>
        <w:t>Involving beneficiaries (including vulnerable groups) in decision-making across all project stages.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Complaints &amp; Feedback Mechanisms (CRM): </w:t>
      </w:r>
      <w:r>
        <w:rPr>
          <w:rFonts w:ascii="Calibri" w:hAnsi="Calibri"/>
          <w:b w:val="0"/>
          <w:i w:val="0"/>
          <w:sz w:val="22"/>
        </w:rPr>
        <w:t>Establishing safe, accessible, and confidential channels for complaints.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Competence &amp; Staff Learning: </w:t>
      </w:r>
      <w:r>
        <w:rPr>
          <w:rFonts w:ascii="Calibri" w:hAnsi="Calibri"/>
          <w:b w:val="0"/>
          <w:i w:val="0"/>
          <w:sz w:val="22"/>
        </w:rPr>
        <w:t>Training staff on behavioral standards and code of conduct.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2. Comparative Matrix of Feedback &amp; Complaints Mechanisms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Mechanism</w:t>
            </w:r>
          </w:p>
        </w:tc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Advantages</w:t>
            </w:r>
          </w:p>
        </w:tc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Disadvantages</w:t>
            </w:r>
          </w:p>
        </w:tc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Best Practice / Context</w:t>
            </w:r>
          </w:p>
        </w:tc>
      </w:tr>
      <w:tr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Suggestion Box (Boîte à suggestions)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Anonymous; low operational cost; available 24/7.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Inaccessible to illiterate individuals; requires routine physical retrieval.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Good for long-term projects; use visual symbols/logos on boxes.</w:t>
            </w:r>
          </w:p>
        </w:tc>
      </w:tr>
      <w:tr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Toll-Free Hotline (Ligne verte)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Direct contact; accessible to illiterate beneficiaries; instant response.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Network coverage issues; requires dedicated phone operators; excludes those without phones.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Best in urban/semi-urban settings; employ both male &amp; female operators.</w:t>
            </w:r>
          </w:p>
        </w:tc>
      </w:tr>
      <w:tr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Face-to-Face (Face à Face)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Highly accessible; allows clarification of complex details; builds trust.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Lack of privacy for sensitive complaints; time-intensive for field staff.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Essential for short-term emergency projects and remote illiterate communities.</w:t>
            </w:r>
          </w:p>
        </w:tc>
      </w:tr>
      <w:tr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Complaints Management Committee (Comité de gestion)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High community ownership; locally accessible; cost-effective.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Risk of elite capture or bias; non-anonymous; requires oversight against power abuse.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Train diverse representation (women, youth, minority groups); maintain logbooks.</w:t>
            </w:r>
          </w:p>
        </w:tc>
      </w:tr>
    </w:tbl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3. "Do No Harm" Principle (Ne Pas Nuire)</w:t>
      </w:r>
    </w:p>
    <w:p>
      <w:pPr>
        <w:spacing w:after="80"/>
      </w:pPr>
      <w:r>
        <w:rPr>
          <w:rFonts w:ascii="Calibri" w:hAnsi="Calibri"/>
          <w:b w:val="0"/>
          <w:i w:val="0"/>
          <w:sz w:val="22"/>
        </w:rPr>
        <w:t>An operational principle ensuring humanitarian and development interventions do not inadvertently exacerbate existing social conflicts, create security risks, or compromise the dignity/safety of vulnerable populations.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Example Conflict Scenario: </w:t>
      </w:r>
      <w:r>
        <w:rPr>
          <w:rFonts w:ascii="Calibri" w:hAnsi="Calibri"/>
          <w:b w:val="0"/>
          <w:i w:val="0"/>
          <w:sz w:val="22"/>
        </w:rPr>
        <w:t>Distributing assistance in a central village causes neighboring armed groups to target the beneficiaries.</w:t>
      </w:r>
    </w:p>
    <w:p>
      <w:pPr>
        <w:pStyle w:val="ListBullet"/>
        <w:spacing w:after="120"/>
      </w:pPr>
      <w:r>
        <w:rPr>
          <w:rFonts w:ascii="Calibri" w:hAnsi="Calibri"/>
          <w:b/>
          <w:i w:val="0"/>
          <w:sz w:val="22"/>
        </w:rPr>
        <w:t xml:space="preserve">Mitigation Strategy: </w:t>
      </w:r>
      <w:r>
        <w:rPr>
          <w:rFonts w:ascii="Calibri" w:hAnsi="Calibri"/>
          <w:b w:val="0"/>
          <w:i w:val="0"/>
          <w:sz w:val="22"/>
        </w:rPr>
        <w:t>Transition to decentralized, discreet distributions or voucher systems after consulting local community protection committees.</w:t>
      </w:r>
    </w:p>
    <w:p>
      <w:pPr>
        <w:keepNext/>
        <w:spacing w:before="360" w:after="160"/>
        <w:pBdr>
          <w:bottom w:val="single" w:sz="6" w:space="1" w:color="4A90E2"/>
        </w:pBdr>
      </w:pPr>
      <w:r>
        <w:rPr>
          <w:rFonts w:ascii="Calibri" w:hAnsi="Calibri"/>
          <w:b/>
          <w:i w:val="0"/>
          <w:color w:val="1B365D"/>
          <w:sz w:val="32"/>
        </w:rPr>
        <w:t>Section 5: Sampling Methods &amp; Formulas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1. Sampling Techniques Matrix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Method</w:t>
            </w:r>
          </w:p>
        </w:tc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Definition</w:t>
            </w:r>
          </w:p>
        </w:tc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Advantages</w:t>
            </w:r>
          </w:p>
        </w:tc>
        <w:tc>
          <w:tcPr>
            <w:tcW w:type="dxa" w:w="2340"/>
            <w:shd w:fill="1B365D"/>
            <w:tcMar>
              <w:top w:w="120" w:type="dxa"/>
              <w:bottom w:w="120" w:type="dxa"/>
              <w:left w:w="150" w:type="dxa"/>
              <w:right w:w="15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color w:val="FFFFFF"/>
                <w:sz w:val="22"/>
              </w:rPr>
              <w:t>Disadvantages</w:t>
            </w:r>
          </w:p>
        </w:tc>
      </w:tr>
      <w:tr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Simple Random Sampling (Aléatoire simple)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Every population element has an equal probability of selection.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Unbiased; straightforward analysis.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Requires a complete and updated sampling frame list.</w:t>
            </w:r>
          </w:p>
        </w:tc>
      </w:tr>
      <w:tr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Systematic Sampling (Systématique)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Selection based on a fixed interval k = N/n starting from a random point.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Easy to execute in field surveys without full prior lists.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Risk of periodicity bias if data has recurring patterns.</w:t>
            </w:r>
          </w:p>
        </w:tc>
      </w:tr>
      <w:tr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Stratified Sampling (Stratifié)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Population divided into distinct subgroups (strata); independent sampling within each.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High representation across heterogenous groups/zones.</w:t>
            </w:r>
          </w:p>
        </w:tc>
        <w:tc>
          <w:tcPr>
            <w:tcW w:type="dxa" w:w="2340"/>
            <w:shd w:fill="F8F9FA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Higher administrative cost; requires prior knowledge of strata parameters.</w:t>
            </w:r>
          </w:p>
        </w:tc>
      </w:tr>
      <w:tr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/>
                <w:i w:val="0"/>
                <w:sz w:val="22"/>
              </w:rPr>
              <w:t>Cluster Sampling (En grappes)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Population divided into naturally occurring groups (e.g., villages); entire clusters selected randomly.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Reduces travel time and field logistics costs.</w:t>
            </w:r>
          </w:p>
        </w:tc>
        <w:tc>
          <w:tcPr>
            <w:tcW w:type="dxa" w:w="2340"/>
            <w:shd w:fill="FFFFFF"/>
            <w:tcMar>
              <w:top w:w="80" w:type="dxa"/>
              <w:bottom w:w="80" w:type="dxa"/>
              <w:left w:w="120" w:type="dxa"/>
              <w:right w:w="120" w:type="dxa"/>
            </w:tcMar>
          </w:tcPr>
          <w:p>
            <w:pPr>
              <w:spacing w:after="0"/>
            </w:pPr>
            <w:r>
              <w:rPr>
                <w:rFonts w:ascii="Calibri" w:hAnsi="Calibri"/>
                <w:b w:val="0"/>
                <w:i w:val="0"/>
                <w:sz w:val="22"/>
              </w:rPr>
              <w:t>Higher design effect; units within clusters may be overly homogeneous.</w:t>
            </w:r>
          </w:p>
        </w:tc>
      </w:tr>
    </w:tbl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2. Sample Size Calculation Formula</w:t>
      </w:r>
    </w:p>
    <w:p>
      <w:pPr>
        <w:spacing w:after="80"/>
      </w:pPr>
      <w:r>
        <w:rPr>
          <w:rFonts w:ascii="Calibri" w:hAnsi="Calibri"/>
          <w:b w:val="0"/>
          <w:i w:val="0"/>
          <w:sz w:val="22"/>
        </w:rPr>
        <w:t>The standard formula for estimating sample size for proportions in large populations (N &gt; 20,000) is:</w:t>
      </w:r>
    </w:p>
    <w:p>
      <w:pPr>
        <w:spacing w:before="120" w:after="120"/>
        <w:ind w:left="720"/>
      </w:pPr>
      <w:r>
        <w:rPr>
          <w:rFonts w:ascii="Courier New" w:hAnsi="Courier New"/>
          <w:b/>
          <w:i w:val="0"/>
          <w:color w:val="1B365D"/>
          <w:sz w:val="26"/>
        </w:rPr>
        <w:t>n = (z² · p · (1 - p)) / d²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n = </w:t>
      </w:r>
      <w:r>
        <w:rPr>
          <w:rFonts w:ascii="Calibri" w:hAnsi="Calibri"/>
          <w:b w:val="0"/>
          <w:i w:val="0"/>
          <w:sz w:val="22"/>
        </w:rPr>
        <w:t>Sample size required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z = </w:t>
      </w:r>
      <w:r>
        <w:rPr>
          <w:rFonts w:ascii="Calibri" w:hAnsi="Calibri"/>
          <w:b w:val="0"/>
          <w:i w:val="0"/>
          <w:sz w:val="22"/>
        </w:rPr>
        <w:t>Confidence level score (e.g., 1.96 for 95% confidence level, 2.575 for 99%)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p = </w:t>
      </w:r>
      <w:r>
        <w:rPr>
          <w:rFonts w:ascii="Calibri" w:hAnsi="Calibri"/>
          <w:b w:val="0"/>
          <w:i w:val="0"/>
          <w:sz w:val="22"/>
        </w:rPr>
        <w:t>Estimated proportion of population attribute (default p = 0.5 if unknown)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d = </w:t>
      </w:r>
      <w:r>
        <w:rPr>
          <w:rFonts w:ascii="Calibri" w:hAnsi="Calibri"/>
          <w:b w:val="0"/>
          <w:i w:val="0"/>
          <w:sz w:val="22"/>
        </w:rPr>
        <w:t>Margin of error / Precision (e.g., 0.05 for ±5%)</w:t>
      </w:r>
    </w:p>
    <w:p>
      <w:pPr>
        <w:keepNext/>
        <w:spacing w:before="360" w:after="160"/>
        <w:pBdr>
          <w:bottom w:val="single" w:sz="6" w:space="1" w:color="4A90E2"/>
        </w:pBdr>
      </w:pPr>
      <w:r>
        <w:rPr>
          <w:rFonts w:ascii="Calibri" w:hAnsi="Calibri"/>
          <w:b/>
          <w:i w:val="0"/>
          <w:color w:val="1B365D"/>
          <w:sz w:val="32"/>
        </w:rPr>
        <w:t>Section 6: Key Formulas &amp; Analytical Exercises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1. Specific Outcome Calculation Formula</w:t>
      </w:r>
    </w:p>
    <w:p>
      <w:pPr>
        <w:spacing w:after="40"/>
      </w:pPr>
      <w:r>
        <w:rPr>
          <w:rFonts w:ascii="Calibri" w:hAnsi="Calibri"/>
          <w:b/>
          <w:i w:val="0"/>
          <w:sz w:val="22"/>
        </w:rPr>
        <w:t xml:space="preserve">Indicator: </w:t>
      </w:r>
      <w:r>
        <w:rPr>
          <w:rFonts w:ascii="Calibri" w:hAnsi="Calibri"/>
          <w:b w:val="0"/>
          <w:i w:val="0"/>
          <w:sz w:val="22"/>
        </w:rPr>
        <w:t>Percentage of sexual assault survivors receiving medical care within 72 hours.</w:t>
      </w:r>
    </w:p>
    <w:p>
      <w:pPr>
        <w:spacing w:before="120" w:after="120"/>
        <w:ind w:left="288"/>
      </w:pPr>
      <w:r>
        <w:rPr>
          <w:rFonts w:ascii="Courier New" w:hAnsi="Courier New"/>
          <w:b/>
          <w:i w:val="0"/>
          <w:color w:val="1B365D"/>
          <w:sz w:val="22"/>
        </w:rPr>
        <w:t>Percentage (%) = [ (Survivors receiving care within 72 hrs) / (Total survivors reported) ] × 100</w:t>
      </w:r>
    </w:p>
    <w:p>
      <w:pPr>
        <w:keepNext/>
        <w:spacing w:before="240" w:after="80"/>
      </w:pPr>
      <w:r>
        <w:rPr>
          <w:rFonts w:ascii="Calibri" w:hAnsi="Calibri"/>
          <w:b/>
          <w:i w:val="0"/>
          <w:color w:val="2C3E50"/>
          <w:sz w:val="26"/>
        </w:rPr>
        <w:t>2. Analytical Interpretation: WASH Survey Table (Baseline vs. Endline)</w:t>
      </w:r>
    </w:p>
    <w:p>
      <w:pPr>
        <w:spacing w:after="80"/>
      </w:pPr>
      <w:r>
        <w:rPr>
          <w:rFonts w:ascii="Calibri" w:hAnsi="Calibri"/>
          <w:b/>
          <w:i w:val="0"/>
          <w:color w:val="1B365D"/>
          <w:sz w:val="22"/>
        </w:rPr>
        <w:t>Data Summary: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Daily Activities (Activités quotidiennes): </w:t>
      </w:r>
      <w:r>
        <w:rPr>
          <w:rFonts w:ascii="Calibri" w:hAnsi="Calibri"/>
          <w:b w:val="0"/>
          <w:i w:val="0"/>
          <w:sz w:val="22"/>
        </w:rPr>
        <w:t>Protected source dropped from 11% to 8%; Unprotected source dropped from 39% to 16%; Handpump increased significantly from 9% to 48%.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Drinking Water (Consommation): </w:t>
      </w:r>
      <w:r>
        <w:rPr>
          <w:rFonts w:ascii="Calibri" w:hAnsi="Calibri"/>
          <w:b w:val="0"/>
          <w:i w:val="0"/>
          <w:sz w:val="22"/>
        </w:rPr>
        <w:t>Handpump usage increased from 21% to 66%; River/Rainwater usage dropped from 12% to 1%.</w:t>
      </w:r>
    </w:p>
    <w:p>
      <w:pPr>
        <w:pStyle w:val="ListBullet"/>
        <w:spacing w:after="40"/>
      </w:pPr>
      <w:r>
        <w:rPr>
          <w:rFonts w:ascii="Calibri" w:hAnsi="Calibri"/>
          <w:b/>
          <w:i w:val="0"/>
          <w:sz w:val="22"/>
        </w:rPr>
        <w:t xml:space="preserve">Rainy Season Usage (Saison des pluies): </w:t>
      </w:r>
      <w:r>
        <w:rPr>
          <w:rFonts w:ascii="Calibri" w:hAnsi="Calibri"/>
          <w:b w:val="0"/>
          <w:i w:val="0"/>
          <w:sz w:val="22"/>
        </w:rPr>
        <w:t>Unprotected source usage dropped from 43% to 20%; Handpump usage dominated endline at 60%.</w:t>
      </w:r>
    </w:p>
    <w:p>
      <w:pPr>
        <w:spacing w:before="120" w:after="80"/>
      </w:pPr>
      <w:r>
        <w:rPr>
          <w:rFonts w:ascii="Calibri" w:hAnsi="Calibri"/>
          <w:b/>
          <w:i w:val="0"/>
          <w:color w:val="1B365D"/>
          <w:sz w:val="22"/>
        </w:rPr>
        <w:t>Analytical Takeaways: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Behavioral Shift Towards Improved Sources: </w:t>
      </w:r>
      <w:r>
        <w:rPr>
          <w:rFonts w:ascii="Calibri" w:hAnsi="Calibri"/>
          <w:b w:val="0"/>
          <w:i w:val="0"/>
          <w:sz w:val="22"/>
        </w:rPr>
        <w:t>The intervention achieved substantial positive health impact by shifting community reliance away from open rivers and unprotected wells toward borehole handpumps for drinking (increasing to 66%).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Seasonal Stabilization: </w:t>
      </w:r>
      <w:r>
        <w:rPr>
          <w:rFonts w:ascii="Calibri" w:hAnsi="Calibri"/>
          <w:b w:val="0"/>
          <w:i w:val="0"/>
          <w:sz w:val="22"/>
        </w:rPr>
        <w:t>Improved infrastructure reduced seasonal vulnerability during rains, preventing spikes in waterborne diseases.</w:t>
      </w:r>
    </w:p>
    <w:p>
      <w:pPr>
        <w:pStyle w:val="ListBullet"/>
        <w:spacing w:after="60"/>
      </w:pPr>
      <w:r>
        <w:rPr>
          <w:rFonts w:ascii="Calibri" w:hAnsi="Calibri"/>
          <w:b/>
          <w:i w:val="0"/>
          <w:sz w:val="22"/>
        </w:rPr>
        <w:t xml:space="preserve">Targeted Maintenance Need: </w:t>
      </w:r>
      <w:r>
        <w:rPr>
          <w:rFonts w:ascii="Calibri" w:hAnsi="Calibri"/>
          <w:b w:val="0"/>
          <w:i w:val="0"/>
          <w:sz w:val="22"/>
        </w:rPr>
        <w:t>Protected springs showed minor decline/underutilization relative to pumps, indicating a need for local water committee capacity building for spring maintenance.</w:t>
      </w:r>
    </w:p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